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65A18" w14:textId="77777777" w:rsidR="00BA09C2" w:rsidRPr="00B26039" w:rsidRDefault="00BA09C2" w:rsidP="00B26039">
      <w:pPr>
        <w:spacing w:after="0" w:line="240" w:lineRule="auto"/>
        <w:jc w:val="both"/>
        <w:rPr>
          <w:b/>
          <w:bCs/>
          <w:color w:val="auto"/>
          <w:szCs w:val="20"/>
        </w:rPr>
      </w:pPr>
    </w:p>
    <w:p w14:paraId="259CD102" w14:textId="67299A59" w:rsidR="005B412F" w:rsidRPr="00B26039" w:rsidRDefault="005B412F" w:rsidP="00253697">
      <w:pPr>
        <w:spacing w:after="0" w:line="240" w:lineRule="auto"/>
        <w:jc w:val="center"/>
        <w:rPr>
          <w:b/>
          <w:bCs/>
          <w:color w:val="auto"/>
          <w:szCs w:val="20"/>
        </w:rPr>
      </w:pPr>
      <w:r w:rsidRPr="00B26039">
        <w:rPr>
          <w:b/>
          <w:bCs/>
          <w:color w:val="auto"/>
          <w:szCs w:val="20"/>
        </w:rPr>
        <w:t xml:space="preserve">ANEXO </w:t>
      </w:r>
      <w:r w:rsidR="00F276BC" w:rsidRPr="00B26039">
        <w:rPr>
          <w:b/>
          <w:bCs/>
          <w:color w:val="auto"/>
          <w:szCs w:val="20"/>
        </w:rPr>
        <w:t>IV</w:t>
      </w:r>
      <w:r w:rsidRPr="00B26039">
        <w:rPr>
          <w:b/>
          <w:bCs/>
          <w:color w:val="auto"/>
          <w:szCs w:val="20"/>
        </w:rPr>
        <w:t xml:space="preserve"> – JUSTIFICATIVA DA INDICAÇÃO DE MARCA </w:t>
      </w:r>
      <w:r w:rsidR="00D95A86" w:rsidRPr="00B26039">
        <w:rPr>
          <w:b/>
          <w:bCs/>
          <w:color w:val="auto"/>
          <w:szCs w:val="20"/>
        </w:rPr>
        <w:t>E</w:t>
      </w:r>
      <w:r w:rsidR="003B7405" w:rsidRPr="00B26039">
        <w:rPr>
          <w:b/>
          <w:bCs/>
          <w:color w:val="auto"/>
          <w:szCs w:val="20"/>
        </w:rPr>
        <w:t xml:space="preserve"> MODELO</w:t>
      </w:r>
    </w:p>
    <w:p w14:paraId="3448E8E8" w14:textId="77777777" w:rsidR="00667F93" w:rsidRDefault="00667F93" w:rsidP="00B26039">
      <w:pPr>
        <w:spacing w:after="0" w:line="240" w:lineRule="auto"/>
        <w:jc w:val="both"/>
        <w:rPr>
          <w:b/>
          <w:bCs/>
          <w:color w:val="auto"/>
          <w:szCs w:val="20"/>
        </w:rPr>
      </w:pPr>
    </w:p>
    <w:p w14:paraId="768E4577" w14:textId="77777777" w:rsidR="00253697" w:rsidRPr="00B26039" w:rsidRDefault="00253697" w:rsidP="00B26039">
      <w:pPr>
        <w:spacing w:after="0" w:line="240" w:lineRule="auto"/>
        <w:jc w:val="both"/>
        <w:rPr>
          <w:b/>
          <w:bCs/>
          <w:color w:val="auto"/>
          <w:szCs w:val="20"/>
        </w:rPr>
      </w:pPr>
    </w:p>
    <w:p w14:paraId="74027128" w14:textId="77777777" w:rsidR="00B26039" w:rsidRDefault="00B26039" w:rsidP="00B26039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B26039">
        <w:rPr>
          <w:rFonts w:ascii="Open Sans" w:hAnsi="Open Sans" w:cs="Open Sans"/>
          <w:b/>
          <w:bCs/>
          <w:sz w:val="20"/>
          <w:szCs w:val="20"/>
        </w:rPr>
        <w:t>1. OBJETO E FINALIDADE</w:t>
      </w:r>
    </w:p>
    <w:p w14:paraId="6ABC1A51" w14:textId="77777777" w:rsidR="00B26039" w:rsidRPr="00B26039" w:rsidRDefault="00B26039" w:rsidP="00B26039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</w:p>
    <w:p w14:paraId="709E7D5D" w14:textId="385E2049" w:rsidR="000A0A93" w:rsidRPr="00CA50E2" w:rsidRDefault="000A0A93" w:rsidP="000A0A93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  <w:r w:rsidRPr="00CA50E2">
        <w:rPr>
          <w:rFonts w:ascii="Open Sans" w:hAnsi="Open Sans" w:cs="Open Sans"/>
          <w:sz w:val="20"/>
          <w:szCs w:val="20"/>
        </w:rPr>
        <w:t xml:space="preserve">A ANM padronizou suas ferramentas de comunicação e </w:t>
      </w:r>
      <w:r w:rsidR="0098685B">
        <w:rPr>
          <w:rFonts w:ascii="Open Sans" w:hAnsi="Open Sans" w:cs="Open Sans"/>
          <w:sz w:val="20"/>
          <w:szCs w:val="20"/>
        </w:rPr>
        <w:t xml:space="preserve">de </w:t>
      </w:r>
      <w:r w:rsidRPr="00CA50E2">
        <w:rPr>
          <w:rFonts w:ascii="Open Sans" w:hAnsi="Open Sans" w:cs="Open Sans"/>
          <w:sz w:val="20"/>
          <w:szCs w:val="20"/>
        </w:rPr>
        <w:t xml:space="preserve">colaboração em </w:t>
      </w:r>
      <w:r w:rsidR="0098685B">
        <w:rPr>
          <w:rFonts w:ascii="Open Sans" w:hAnsi="Open Sans" w:cs="Open Sans"/>
          <w:sz w:val="20"/>
          <w:szCs w:val="20"/>
        </w:rPr>
        <w:t>soluções</w:t>
      </w:r>
      <w:r w:rsidRPr="00CA50E2">
        <w:rPr>
          <w:rFonts w:ascii="Open Sans" w:hAnsi="Open Sans" w:cs="Open Sans"/>
          <w:sz w:val="20"/>
          <w:szCs w:val="20"/>
        </w:rPr>
        <w:t xml:space="preserve"> Microsoft, sendo o </w:t>
      </w:r>
      <w:r w:rsidRPr="0098685B">
        <w:rPr>
          <w:rFonts w:ascii="Open Sans" w:hAnsi="Open Sans" w:cs="Open Sans"/>
          <w:i/>
          <w:iCs/>
          <w:sz w:val="20"/>
          <w:szCs w:val="20"/>
        </w:rPr>
        <w:t>Microsoft Teams</w:t>
      </w:r>
      <w:r w:rsidRPr="00CA50E2">
        <w:rPr>
          <w:rFonts w:ascii="Open Sans" w:hAnsi="Open Sans" w:cs="Open Sans"/>
          <w:sz w:val="20"/>
          <w:szCs w:val="20"/>
        </w:rPr>
        <w:t xml:space="preserve"> o </w:t>
      </w:r>
      <w:r w:rsidRPr="0098685B">
        <w:rPr>
          <w:rFonts w:ascii="Open Sans" w:hAnsi="Open Sans" w:cs="Open Sans"/>
          <w:i/>
          <w:iCs/>
          <w:sz w:val="20"/>
          <w:szCs w:val="20"/>
        </w:rPr>
        <w:t>software</w:t>
      </w:r>
      <w:r w:rsidRPr="00CA50E2">
        <w:rPr>
          <w:rFonts w:ascii="Open Sans" w:hAnsi="Open Sans" w:cs="Open Sans"/>
          <w:sz w:val="20"/>
          <w:szCs w:val="20"/>
        </w:rPr>
        <w:t xml:space="preserve"> utilizado em larga escala para todas as comunicações por vídeo, incluindo:</w:t>
      </w:r>
    </w:p>
    <w:p w14:paraId="0B3C4895" w14:textId="77777777" w:rsidR="000A0A93" w:rsidRPr="00CA50E2" w:rsidRDefault="000A0A93" w:rsidP="000A0A93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</w:p>
    <w:p w14:paraId="22B93B72" w14:textId="3A7F7CAD" w:rsidR="000A0A93" w:rsidRPr="00CA50E2" w:rsidRDefault="000A0A93" w:rsidP="000A0A93">
      <w:pPr>
        <w:pStyle w:val="NormalWeb"/>
        <w:numPr>
          <w:ilvl w:val="0"/>
          <w:numId w:val="19"/>
        </w:numPr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  <w:r w:rsidRPr="0098685B">
        <w:rPr>
          <w:rFonts w:ascii="Open Sans" w:hAnsi="Open Sans" w:cs="Open Sans"/>
          <w:b/>
          <w:bCs/>
          <w:sz w:val="20"/>
          <w:szCs w:val="20"/>
        </w:rPr>
        <w:t>Reuniões Deliberativas Internas:</w:t>
      </w:r>
      <w:r w:rsidRPr="00CA50E2">
        <w:rPr>
          <w:rFonts w:ascii="Open Sans" w:hAnsi="Open Sans" w:cs="Open Sans"/>
          <w:sz w:val="20"/>
          <w:szCs w:val="20"/>
        </w:rPr>
        <w:t xml:space="preserve"> encontros entre </w:t>
      </w:r>
      <w:r w:rsidR="000174A2">
        <w:rPr>
          <w:rFonts w:ascii="Open Sans" w:hAnsi="Open Sans" w:cs="Open Sans"/>
          <w:sz w:val="20"/>
          <w:szCs w:val="20"/>
        </w:rPr>
        <w:t xml:space="preserve">diretorias, </w:t>
      </w:r>
      <w:r w:rsidRPr="00CA50E2">
        <w:rPr>
          <w:rFonts w:ascii="Open Sans" w:hAnsi="Open Sans" w:cs="Open Sans"/>
          <w:sz w:val="20"/>
          <w:szCs w:val="20"/>
        </w:rPr>
        <w:t>superintendências, coordenações e equipes técnicas para a tomada de decisões estratégicas;</w:t>
      </w:r>
    </w:p>
    <w:p w14:paraId="372A4A8C" w14:textId="77777777" w:rsidR="000A0A93" w:rsidRPr="00CA50E2" w:rsidRDefault="000A0A93" w:rsidP="000A0A93">
      <w:pPr>
        <w:pStyle w:val="NormalWeb"/>
        <w:numPr>
          <w:ilvl w:val="0"/>
          <w:numId w:val="19"/>
        </w:numPr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  <w:r w:rsidRPr="0098685B">
        <w:rPr>
          <w:rFonts w:ascii="Open Sans" w:hAnsi="Open Sans" w:cs="Open Sans"/>
          <w:b/>
          <w:bCs/>
          <w:sz w:val="20"/>
          <w:szCs w:val="20"/>
        </w:rPr>
        <w:t>Interlocução com Entes Regulados e Externos:</w:t>
      </w:r>
      <w:r w:rsidRPr="00CA50E2">
        <w:rPr>
          <w:rFonts w:ascii="Open Sans" w:hAnsi="Open Sans" w:cs="Open Sans"/>
          <w:sz w:val="20"/>
          <w:szCs w:val="20"/>
        </w:rPr>
        <w:t xml:space="preserve"> audiências, sessões de mediação e reuniões com empresas do setor de mineração, órgãos de controle e outras entidades governamentais;</w:t>
      </w:r>
    </w:p>
    <w:p w14:paraId="6C7AB74C" w14:textId="77777777" w:rsidR="000A0A93" w:rsidRPr="00CA50E2" w:rsidRDefault="000A0A93" w:rsidP="000A0A93">
      <w:pPr>
        <w:pStyle w:val="NormalWeb"/>
        <w:numPr>
          <w:ilvl w:val="0"/>
          <w:numId w:val="19"/>
        </w:numPr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  <w:r w:rsidRPr="0098685B">
        <w:rPr>
          <w:rFonts w:ascii="Open Sans" w:hAnsi="Open Sans" w:cs="Open Sans"/>
          <w:b/>
          <w:bCs/>
          <w:sz w:val="20"/>
          <w:szCs w:val="20"/>
        </w:rPr>
        <w:t>Atividades de Capacitação e Trabalho Híbrido:</w:t>
      </w:r>
      <w:r w:rsidRPr="00CA50E2">
        <w:rPr>
          <w:rFonts w:ascii="Open Sans" w:hAnsi="Open Sans" w:cs="Open Sans"/>
          <w:sz w:val="20"/>
          <w:szCs w:val="20"/>
        </w:rPr>
        <w:t xml:space="preserve"> treinamentos internos e a rotina de trabalho dos servidores em regime híbrido ou de teletrabalho integral.</w:t>
      </w:r>
    </w:p>
    <w:p w14:paraId="3AD6C1AA" w14:textId="77777777" w:rsidR="000A0A93" w:rsidRPr="00CA50E2" w:rsidRDefault="000A0A93" w:rsidP="000A0A93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</w:p>
    <w:p w14:paraId="5BD075B1" w14:textId="50A69733" w:rsidR="000A0A93" w:rsidRPr="00CA50E2" w:rsidRDefault="000A0A93" w:rsidP="000A0A93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  <w:r w:rsidRPr="00CA50E2">
        <w:rPr>
          <w:rFonts w:ascii="Open Sans" w:hAnsi="Open Sans" w:cs="Open Sans"/>
          <w:sz w:val="20"/>
          <w:szCs w:val="20"/>
        </w:rPr>
        <w:t xml:space="preserve">Nesse cenário, a </w:t>
      </w:r>
      <w:r w:rsidR="00F5391D" w:rsidRPr="00EF4878">
        <w:rPr>
          <w:rFonts w:ascii="Open Sans" w:hAnsi="Open Sans" w:cs="Open Sans"/>
          <w:i/>
          <w:iCs/>
          <w:sz w:val="20"/>
          <w:szCs w:val="20"/>
        </w:rPr>
        <w:t>Câmera óptica MPTZ</w:t>
      </w:r>
      <w:r w:rsidRPr="00CA50E2">
        <w:rPr>
          <w:rFonts w:ascii="Open Sans" w:hAnsi="Open Sans" w:cs="Open Sans"/>
          <w:sz w:val="20"/>
          <w:szCs w:val="20"/>
        </w:rPr>
        <w:t xml:space="preserve"> deixa de ser um </w:t>
      </w:r>
      <w:r w:rsidR="0098685B">
        <w:rPr>
          <w:rFonts w:ascii="Open Sans" w:hAnsi="Open Sans" w:cs="Open Sans"/>
          <w:sz w:val="20"/>
          <w:szCs w:val="20"/>
        </w:rPr>
        <w:t xml:space="preserve">mero </w:t>
      </w:r>
      <w:r w:rsidRPr="00CA50E2">
        <w:rPr>
          <w:rFonts w:ascii="Open Sans" w:hAnsi="Open Sans" w:cs="Open Sans"/>
          <w:sz w:val="20"/>
          <w:szCs w:val="20"/>
        </w:rPr>
        <w:t>acessório e se torna uma ferramenta de trabalho essencial cujo desempenho impacta diretamente a produtividade, a eficácia da comunicação e a imagem institucional da Agência.</w:t>
      </w:r>
    </w:p>
    <w:p w14:paraId="012E8484" w14:textId="77777777" w:rsidR="000A0A93" w:rsidRDefault="000A0A93" w:rsidP="00B26039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</w:p>
    <w:p w14:paraId="1CBBFCC0" w14:textId="60D95554" w:rsidR="00B26039" w:rsidRPr="00B26039" w:rsidRDefault="000A0A93" w:rsidP="00B26039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Diante disso, e</w:t>
      </w:r>
      <w:r w:rsidR="00B26039" w:rsidRPr="00B26039">
        <w:rPr>
          <w:rFonts w:ascii="Open Sans" w:hAnsi="Open Sans" w:cs="Open Sans"/>
          <w:sz w:val="20"/>
          <w:szCs w:val="20"/>
        </w:rPr>
        <w:t xml:space="preserve">ste documento estabelece a fundamentação técnica para a exigência de </w:t>
      </w:r>
      <w:r w:rsidR="00B26039" w:rsidRPr="00B26039">
        <w:rPr>
          <w:rFonts w:ascii="Open Sans" w:hAnsi="Open Sans" w:cs="Open Sans"/>
          <w:b/>
          <w:bCs/>
          <w:sz w:val="20"/>
          <w:szCs w:val="20"/>
        </w:rPr>
        <w:t xml:space="preserve">Certificação para </w:t>
      </w:r>
      <w:r w:rsidR="00B26039" w:rsidRPr="00B26039">
        <w:rPr>
          <w:rFonts w:ascii="Open Sans" w:hAnsi="Open Sans" w:cs="Open Sans"/>
          <w:b/>
          <w:bCs/>
          <w:i/>
          <w:iCs/>
          <w:sz w:val="20"/>
          <w:szCs w:val="20"/>
        </w:rPr>
        <w:t>Microsoft Teams</w:t>
      </w:r>
      <w:r w:rsidR="00B26039" w:rsidRPr="00B26039">
        <w:rPr>
          <w:rFonts w:ascii="Open Sans" w:hAnsi="Open Sans" w:cs="Open Sans"/>
          <w:sz w:val="20"/>
          <w:szCs w:val="20"/>
        </w:rPr>
        <w:t xml:space="preserve"> como </w:t>
      </w:r>
      <w:r w:rsidR="00B26039" w:rsidRPr="00D44A20">
        <w:rPr>
          <w:rFonts w:ascii="Open Sans" w:hAnsi="Open Sans" w:cs="Open Sans"/>
          <w:b/>
          <w:bCs/>
          <w:sz w:val="20"/>
          <w:szCs w:val="20"/>
        </w:rPr>
        <w:t xml:space="preserve">requisito na aquisição de </w:t>
      </w:r>
      <w:r w:rsidR="00067AB2" w:rsidRPr="00371550">
        <w:rPr>
          <w:rFonts w:ascii="Open Sans" w:hAnsi="Open Sans" w:cs="Open Sans"/>
          <w:b/>
          <w:bCs/>
          <w:i/>
          <w:iCs/>
          <w:sz w:val="20"/>
          <w:szCs w:val="20"/>
        </w:rPr>
        <w:t>Câmera óptica MPTZ</w:t>
      </w:r>
      <w:r w:rsidR="00067AB2" w:rsidRPr="00067AB2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B26039" w:rsidRPr="00B26039">
        <w:rPr>
          <w:rFonts w:ascii="Open Sans" w:hAnsi="Open Sans" w:cs="Open Sans"/>
          <w:sz w:val="20"/>
          <w:szCs w:val="20"/>
        </w:rPr>
        <w:t xml:space="preserve">pela Agência Nacional de Mineração (ANM). </w:t>
      </w:r>
    </w:p>
    <w:p w14:paraId="40EB0769" w14:textId="77777777" w:rsidR="00B26039" w:rsidRDefault="00B26039" w:rsidP="00B26039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b/>
          <w:bCs/>
          <w:sz w:val="20"/>
          <w:szCs w:val="20"/>
        </w:rPr>
      </w:pPr>
    </w:p>
    <w:p w14:paraId="063D99E2" w14:textId="77777777" w:rsidR="0021025A" w:rsidRDefault="0021025A" w:rsidP="00B26039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b/>
          <w:bCs/>
          <w:sz w:val="20"/>
          <w:szCs w:val="20"/>
        </w:rPr>
      </w:pPr>
    </w:p>
    <w:p w14:paraId="72DC16E8" w14:textId="7939FEA5" w:rsidR="00B26039" w:rsidRDefault="00B26039" w:rsidP="00B26039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B26039">
        <w:rPr>
          <w:rFonts w:ascii="Open Sans" w:hAnsi="Open Sans" w:cs="Open Sans"/>
          <w:b/>
          <w:bCs/>
          <w:sz w:val="20"/>
          <w:szCs w:val="20"/>
        </w:rPr>
        <w:t>2. ESPECIFICAÇÃO DE REFERÊNCIA</w:t>
      </w:r>
    </w:p>
    <w:p w14:paraId="100227EE" w14:textId="77777777" w:rsidR="00B26039" w:rsidRPr="00B26039" w:rsidRDefault="00B26039" w:rsidP="00B26039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</w:p>
    <w:p w14:paraId="0067B53A" w14:textId="21BD7CC9" w:rsidR="00B26039" w:rsidRDefault="00B26039" w:rsidP="00B26039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  <w:r w:rsidRPr="00B26039">
        <w:rPr>
          <w:rFonts w:ascii="Open Sans" w:hAnsi="Open Sans" w:cs="Open Sans"/>
          <w:sz w:val="20"/>
          <w:szCs w:val="20"/>
        </w:rPr>
        <w:t>Para fins de delimitação do padrão de desempenho esperado, indica-se o seguinte modelo como referência de mercado, cujas características técnicas atendem aos requisitos mínimos da ANM. Serão aceitos produtos equivalentes ou superiores que cumpram integralmente as especificações obrigatórias, incluindo a certificação exigida.</w:t>
      </w:r>
    </w:p>
    <w:p w14:paraId="72CD19DF" w14:textId="77777777" w:rsidR="00D44A20" w:rsidRPr="00B26039" w:rsidRDefault="00D44A20" w:rsidP="00B26039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</w:p>
    <w:p w14:paraId="34715A86" w14:textId="77777777" w:rsidR="00D30561" w:rsidRPr="00D30561" w:rsidRDefault="00D30561" w:rsidP="00D30561">
      <w:pPr>
        <w:spacing w:after="0" w:line="240" w:lineRule="auto"/>
        <w:ind w:left="0" w:firstLine="0"/>
        <w:jc w:val="both"/>
        <w:rPr>
          <w:rStyle w:val="citation-95"/>
          <w:b/>
          <w:bCs/>
          <w:szCs w:val="20"/>
        </w:rPr>
      </w:pPr>
    </w:p>
    <w:p w14:paraId="681B40ED" w14:textId="64BD1547" w:rsidR="006B7608" w:rsidRPr="00D30561" w:rsidRDefault="00B26039" w:rsidP="00D30561">
      <w:pPr>
        <w:pStyle w:val="PargrafodaLista"/>
        <w:numPr>
          <w:ilvl w:val="0"/>
          <w:numId w:val="26"/>
        </w:num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  <w:r w:rsidRPr="00D30561">
        <w:rPr>
          <w:rStyle w:val="citation-95"/>
          <w:rFonts w:ascii="Open Sans" w:hAnsi="Open Sans" w:cs="Open Sans"/>
          <w:b/>
          <w:bCs/>
          <w:sz w:val="20"/>
          <w:szCs w:val="20"/>
        </w:rPr>
        <w:t>Referência:</w:t>
      </w:r>
      <w:r w:rsidRPr="00D30561">
        <w:rPr>
          <w:rStyle w:val="citation-95"/>
          <w:rFonts w:ascii="Open Sans" w:hAnsi="Open Sans" w:cs="Open Sans"/>
          <w:sz w:val="20"/>
          <w:szCs w:val="20"/>
        </w:rPr>
        <w:t xml:space="preserve"> </w:t>
      </w:r>
      <w:r w:rsidR="006B7608" w:rsidRPr="00D30561">
        <w:rPr>
          <w:rFonts w:ascii="Open Sans" w:hAnsi="Open Sans" w:cs="Open Sans"/>
          <w:sz w:val="20"/>
          <w:szCs w:val="20"/>
        </w:rPr>
        <w:t>Câmera HP Poly Studio E60, cód.: 9W1A6AA#AC3".</w:t>
      </w:r>
    </w:p>
    <w:p w14:paraId="5266CA5F" w14:textId="77777777" w:rsidR="00B26039" w:rsidRDefault="00B26039" w:rsidP="00B26039">
      <w:pPr>
        <w:pStyle w:val="NormalWeb"/>
        <w:spacing w:before="0" w:beforeAutospacing="0" w:after="0" w:afterAutospacing="0"/>
        <w:ind w:left="720"/>
        <w:jc w:val="both"/>
        <w:rPr>
          <w:rFonts w:ascii="Open Sans" w:hAnsi="Open Sans" w:cs="Open Sans"/>
          <w:sz w:val="20"/>
          <w:szCs w:val="20"/>
        </w:rPr>
      </w:pPr>
    </w:p>
    <w:p w14:paraId="6BFCCC67" w14:textId="77777777" w:rsidR="0021025A" w:rsidRPr="00B26039" w:rsidRDefault="0021025A" w:rsidP="00B26039">
      <w:pPr>
        <w:pStyle w:val="NormalWeb"/>
        <w:spacing w:before="0" w:beforeAutospacing="0" w:after="0" w:afterAutospacing="0"/>
        <w:ind w:left="720"/>
        <w:jc w:val="both"/>
        <w:rPr>
          <w:rFonts w:ascii="Open Sans" w:hAnsi="Open Sans" w:cs="Open Sans"/>
          <w:sz w:val="20"/>
          <w:szCs w:val="20"/>
        </w:rPr>
      </w:pPr>
    </w:p>
    <w:p w14:paraId="1922564D" w14:textId="77777777" w:rsidR="00B26039" w:rsidRDefault="00B26039" w:rsidP="00B26039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B26039">
        <w:rPr>
          <w:rFonts w:ascii="Open Sans" w:hAnsi="Open Sans" w:cs="Open Sans"/>
          <w:b/>
          <w:bCs/>
          <w:sz w:val="20"/>
          <w:szCs w:val="20"/>
        </w:rPr>
        <w:t>3. FUNDAMENTAÇÃO TÉCNICA DETALHADA</w:t>
      </w:r>
    </w:p>
    <w:p w14:paraId="44CF8915" w14:textId="77777777" w:rsidR="00B26039" w:rsidRPr="00B26039" w:rsidRDefault="00B26039" w:rsidP="00B26039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</w:p>
    <w:p w14:paraId="55559932" w14:textId="15FF1B6E" w:rsidR="00B26039" w:rsidRPr="00B26039" w:rsidRDefault="00B26039" w:rsidP="00B26039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  <w:r w:rsidRPr="00B26039">
        <w:rPr>
          <w:rFonts w:ascii="Open Sans" w:hAnsi="Open Sans" w:cs="Open Sans"/>
          <w:sz w:val="20"/>
          <w:szCs w:val="20"/>
        </w:rPr>
        <w:t>A exigência de certificação é uma decisão de gestão de ativos de TI</w:t>
      </w:r>
      <w:r>
        <w:rPr>
          <w:rFonts w:ascii="Open Sans" w:hAnsi="Open Sans" w:cs="Open Sans"/>
          <w:sz w:val="20"/>
          <w:szCs w:val="20"/>
        </w:rPr>
        <w:t>C</w:t>
      </w:r>
      <w:r w:rsidRPr="00B26039">
        <w:rPr>
          <w:rFonts w:ascii="Open Sans" w:hAnsi="Open Sans" w:cs="Open Sans"/>
          <w:sz w:val="20"/>
          <w:szCs w:val="20"/>
        </w:rPr>
        <w:t xml:space="preserve"> que visa mitigar riscos técnicos e operacionais. A justificativa se decompõe nos seguintes pilares:</w:t>
      </w:r>
    </w:p>
    <w:p w14:paraId="4747511A" w14:textId="77777777" w:rsidR="00B26039" w:rsidRDefault="00B26039" w:rsidP="00B26039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b/>
          <w:bCs/>
          <w:sz w:val="20"/>
          <w:szCs w:val="20"/>
        </w:rPr>
      </w:pPr>
    </w:p>
    <w:p w14:paraId="4FE2E91B" w14:textId="5236A32A" w:rsidR="00B26039" w:rsidRPr="00B26039" w:rsidRDefault="00B26039" w:rsidP="00B26039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  <w:r w:rsidRPr="00B26039">
        <w:rPr>
          <w:rFonts w:ascii="Open Sans" w:hAnsi="Open Sans" w:cs="Open Sans"/>
          <w:b/>
          <w:bCs/>
          <w:sz w:val="20"/>
          <w:szCs w:val="20"/>
        </w:rPr>
        <w:t>3.1. Garantia de Interoperabilidade Contínua</w:t>
      </w:r>
    </w:p>
    <w:p w14:paraId="0A7425CB" w14:textId="77777777" w:rsidR="00B26039" w:rsidRDefault="00B26039" w:rsidP="00B26039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</w:p>
    <w:p w14:paraId="4F1597C2" w14:textId="2D0EC139" w:rsidR="00B26039" w:rsidRDefault="00B26039" w:rsidP="00B26039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  <w:r w:rsidRPr="00B26039">
        <w:rPr>
          <w:rFonts w:ascii="Open Sans" w:hAnsi="Open Sans" w:cs="Open Sans"/>
          <w:sz w:val="20"/>
          <w:szCs w:val="20"/>
        </w:rPr>
        <w:t xml:space="preserve">A ANM opera em um ambiente de TIC dinâmico </w:t>
      </w:r>
      <w:r w:rsidR="00CC4E42">
        <w:rPr>
          <w:rFonts w:ascii="Open Sans" w:hAnsi="Open Sans" w:cs="Open Sans"/>
          <w:sz w:val="20"/>
          <w:szCs w:val="20"/>
        </w:rPr>
        <w:t xml:space="preserve">em que </w:t>
      </w:r>
      <w:r w:rsidRPr="00B26039">
        <w:rPr>
          <w:rFonts w:ascii="Open Sans" w:hAnsi="Open Sans" w:cs="Open Sans"/>
          <w:sz w:val="20"/>
          <w:szCs w:val="20"/>
        </w:rPr>
        <w:t xml:space="preserve">o sistema operacional (Windows) e a aplicação </w:t>
      </w:r>
      <w:r w:rsidRPr="00B26039">
        <w:rPr>
          <w:rFonts w:ascii="Open Sans" w:hAnsi="Open Sans" w:cs="Open Sans"/>
          <w:i/>
          <w:iCs/>
          <w:sz w:val="20"/>
          <w:szCs w:val="20"/>
        </w:rPr>
        <w:t>Microsoft Teams</w:t>
      </w:r>
      <w:r w:rsidRPr="00B26039">
        <w:rPr>
          <w:rFonts w:ascii="Open Sans" w:hAnsi="Open Sans" w:cs="Open Sans"/>
          <w:sz w:val="20"/>
          <w:szCs w:val="20"/>
        </w:rPr>
        <w:t xml:space="preserve"> recebem atualizações de segurança e </w:t>
      </w:r>
      <w:r w:rsidR="00CC4E42">
        <w:rPr>
          <w:rFonts w:ascii="Open Sans" w:hAnsi="Open Sans" w:cs="Open Sans"/>
          <w:sz w:val="20"/>
          <w:szCs w:val="20"/>
        </w:rPr>
        <w:t xml:space="preserve">de </w:t>
      </w:r>
      <w:r w:rsidRPr="00B26039">
        <w:rPr>
          <w:rFonts w:ascii="Open Sans" w:hAnsi="Open Sans" w:cs="Open Sans"/>
          <w:sz w:val="20"/>
          <w:szCs w:val="20"/>
        </w:rPr>
        <w:t>funcionalidade constantes.</w:t>
      </w:r>
      <w:r w:rsidR="00CC4E42">
        <w:rPr>
          <w:rFonts w:ascii="Open Sans" w:hAnsi="Open Sans" w:cs="Open Sans"/>
          <w:sz w:val="20"/>
          <w:szCs w:val="20"/>
        </w:rPr>
        <w:t xml:space="preserve"> Nesse cenário</w:t>
      </w:r>
      <w:r w:rsidR="00BD1F4E">
        <w:rPr>
          <w:rFonts w:ascii="Open Sans" w:hAnsi="Open Sans" w:cs="Open Sans"/>
          <w:sz w:val="20"/>
          <w:szCs w:val="20"/>
        </w:rPr>
        <w:t xml:space="preserve">, </w:t>
      </w:r>
      <w:r w:rsidR="00E62AA7">
        <w:rPr>
          <w:rFonts w:ascii="Open Sans" w:hAnsi="Open Sans" w:cs="Open Sans"/>
          <w:sz w:val="20"/>
          <w:szCs w:val="20"/>
        </w:rPr>
        <w:t>a aquisição de periféricos não certificados ocasiona:</w:t>
      </w:r>
    </w:p>
    <w:p w14:paraId="72BB8B45" w14:textId="77777777" w:rsidR="00B26039" w:rsidRPr="00B26039" w:rsidRDefault="00B26039" w:rsidP="00B26039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</w:p>
    <w:p w14:paraId="0A6BDD59" w14:textId="602B480D" w:rsidR="00B26039" w:rsidRPr="00B26039" w:rsidRDefault="00B26039" w:rsidP="00B26039">
      <w:pPr>
        <w:pStyle w:val="NormalWeb"/>
        <w:numPr>
          <w:ilvl w:val="0"/>
          <w:numId w:val="22"/>
        </w:numPr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  <w:r w:rsidRPr="00B26039">
        <w:rPr>
          <w:rFonts w:ascii="Open Sans" w:hAnsi="Open Sans" w:cs="Open Sans"/>
          <w:b/>
          <w:bCs/>
          <w:sz w:val="20"/>
          <w:szCs w:val="20"/>
        </w:rPr>
        <w:t>Risco da Não-Certificação:</w:t>
      </w:r>
      <w:r w:rsidRPr="00B26039">
        <w:rPr>
          <w:rFonts w:ascii="Open Sans" w:hAnsi="Open Sans" w:cs="Open Sans"/>
          <w:sz w:val="20"/>
          <w:szCs w:val="20"/>
        </w:rPr>
        <w:t xml:space="preserve"> </w:t>
      </w:r>
      <w:r>
        <w:rPr>
          <w:rFonts w:ascii="Open Sans" w:hAnsi="Open Sans" w:cs="Open Sans"/>
          <w:sz w:val="20"/>
          <w:szCs w:val="20"/>
        </w:rPr>
        <w:t>d</w:t>
      </w:r>
      <w:r w:rsidRPr="00B26039">
        <w:rPr>
          <w:rFonts w:ascii="Open Sans" w:hAnsi="Open Sans" w:cs="Open Sans"/>
          <w:sz w:val="20"/>
          <w:szCs w:val="20"/>
        </w:rPr>
        <w:t xml:space="preserve">ispositivos genéricos não possuem garantia de compatibilidade com versões futuras do </w:t>
      </w:r>
      <w:r w:rsidRPr="00CC4E42">
        <w:rPr>
          <w:rFonts w:ascii="Open Sans" w:hAnsi="Open Sans" w:cs="Open Sans"/>
          <w:i/>
          <w:iCs/>
          <w:sz w:val="20"/>
          <w:szCs w:val="20"/>
        </w:rPr>
        <w:t>software</w:t>
      </w:r>
      <w:r w:rsidRPr="00B26039">
        <w:rPr>
          <w:rFonts w:ascii="Open Sans" w:hAnsi="Open Sans" w:cs="Open Sans"/>
          <w:sz w:val="20"/>
          <w:szCs w:val="20"/>
        </w:rPr>
        <w:t>. Uma atualização pode cessar parcial ou totalmente a funcionalidade do periférico, gerando um passivo tecnológico e a necessidade de substituição prematura do ativo</w:t>
      </w:r>
      <w:r w:rsidR="00E62AA7">
        <w:rPr>
          <w:rFonts w:ascii="Open Sans" w:hAnsi="Open Sans" w:cs="Open Sans"/>
          <w:sz w:val="20"/>
          <w:szCs w:val="20"/>
        </w:rPr>
        <w:t>;</w:t>
      </w:r>
    </w:p>
    <w:p w14:paraId="67175A13" w14:textId="19FB102B" w:rsidR="00B26039" w:rsidRDefault="00B26039" w:rsidP="00B26039">
      <w:pPr>
        <w:pStyle w:val="NormalWeb"/>
        <w:numPr>
          <w:ilvl w:val="0"/>
          <w:numId w:val="22"/>
        </w:numPr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  <w:r w:rsidRPr="00B26039">
        <w:rPr>
          <w:rFonts w:ascii="Open Sans" w:hAnsi="Open Sans" w:cs="Open Sans"/>
          <w:b/>
          <w:bCs/>
          <w:sz w:val="20"/>
          <w:szCs w:val="20"/>
        </w:rPr>
        <w:lastRenderedPageBreak/>
        <w:t>Benefício da Certificação:</w:t>
      </w:r>
      <w:r w:rsidRPr="00B26039">
        <w:rPr>
          <w:rFonts w:ascii="Open Sans" w:hAnsi="Open Sans" w:cs="Open Sans"/>
          <w:sz w:val="20"/>
          <w:szCs w:val="20"/>
        </w:rPr>
        <w:t xml:space="preserve"> </w:t>
      </w:r>
      <w:r>
        <w:rPr>
          <w:rFonts w:ascii="Open Sans" w:hAnsi="Open Sans" w:cs="Open Sans"/>
          <w:sz w:val="20"/>
          <w:szCs w:val="20"/>
        </w:rPr>
        <w:t>a</w:t>
      </w:r>
      <w:r w:rsidRPr="00B26039">
        <w:rPr>
          <w:rFonts w:ascii="Open Sans" w:hAnsi="Open Sans" w:cs="Open Sans"/>
          <w:sz w:val="20"/>
          <w:szCs w:val="20"/>
        </w:rPr>
        <w:t xml:space="preserve"> certificação assegura que o </w:t>
      </w:r>
      <w:r w:rsidRPr="00B26039">
        <w:rPr>
          <w:rFonts w:ascii="Open Sans" w:hAnsi="Open Sans" w:cs="Open Sans"/>
          <w:i/>
          <w:iCs/>
          <w:sz w:val="20"/>
          <w:szCs w:val="20"/>
        </w:rPr>
        <w:t>firmware</w:t>
      </w:r>
      <w:r w:rsidRPr="00B26039">
        <w:rPr>
          <w:rFonts w:ascii="Open Sans" w:hAnsi="Open Sans" w:cs="Open Sans"/>
          <w:sz w:val="20"/>
          <w:szCs w:val="20"/>
        </w:rPr>
        <w:t xml:space="preserve"> do dispositivo foi validado </w:t>
      </w:r>
      <w:r>
        <w:rPr>
          <w:rFonts w:ascii="Open Sans" w:hAnsi="Open Sans" w:cs="Open Sans"/>
          <w:sz w:val="20"/>
          <w:szCs w:val="20"/>
        </w:rPr>
        <w:t>pela</w:t>
      </w:r>
      <w:r w:rsidRPr="00B26039">
        <w:rPr>
          <w:rFonts w:ascii="Open Sans" w:hAnsi="Open Sans" w:cs="Open Sans"/>
          <w:sz w:val="20"/>
          <w:szCs w:val="20"/>
        </w:rPr>
        <w:t xml:space="preserve"> Microsoft. </w:t>
      </w:r>
      <w:r w:rsidRPr="00B26039">
        <w:rPr>
          <w:rStyle w:val="citation-93"/>
          <w:rFonts w:ascii="Open Sans" w:hAnsi="Open Sans" w:cs="Open Sans"/>
          <w:sz w:val="20"/>
          <w:szCs w:val="20"/>
        </w:rPr>
        <w:t>Isso garante</w:t>
      </w:r>
      <w:r>
        <w:rPr>
          <w:rStyle w:val="citation-93"/>
          <w:rFonts w:ascii="Open Sans" w:hAnsi="Open Sans" w:cs="Open Sans"/>
          <w:sz w:val="20"/>
          <w:szCs w:val="20"/>
        </w:rPr>
        <w:t xml:space="preserve"> </w:t>
      </w:r>
      <w:r w:rsidRPr="00B26039">
        <w:rPr>
          <w:rStyle w:val="citation-93"/>
          <w:rFonts w:ascii="Open Sans" w:hAnsi="Open Sans" w:cs="Open Sans"/>
          <w:sz w:val="20"/>
          <w:szCs w:val="20"/>
        </w:rPr>
        <w:t xml:space="preserve">a compatibilidade </w:t>
      </w:r>
      <w:r w:rsidR="00E62AA7">
        <w:rPr>
          <w:rStyle w:val="citation-93"/>
          <w:rFonts w:ascii="Open Sans" w:hAnsi="Open Sans" w:cs="Open Sans"/>
          <w:sz w:val="20"/>
          <w:szCs w:val="20"/>
        </w:rPr>
        <w:t xml:space="preserve">no </w:t>
      </w:r>
      <w:r w:rsidRPr="00B26039">
        <w:rPr>
          <w:rStyle w:val="citation-93"/>
          <w:rFonts w:ascii="Open Sans" w:hAnsi="Open Sans" w:cs="Open Sans"/>
          <w:sz w:val="20"/>
          <w:szCs w:val="20"/>
        </w:rPr>
        <w:t xml:space="preserve">presente </w:t>
      </w:r>
      <w:r w:rsidR="00727EB9">
        <w:rPr>
          <w:rStyle w:val="citation-93"/>
          <w:rFonts w:ascii="Open Sans" w:hAnsi="Open Sans" w:cs="Open Sans"/>
          <w:sz w:val="20"/>
          <w:szCs w:val="20"/>
        </w:rPr>
        <w:t xml:space="preserve">e </w:t>
      </w:r>
      <w:r w:rsidRPr="00B26039">
        <w:rPr>
          <w:rStyle w:val="citation-93"/>
          <w:rFonts w:ascii="Open Sans" w:hAnsi="Open Sans" w:cs="Open Sans"/>
          <w:sz w:val="20"/>
          <w:szCs w:val="20"/>
        </w:rPr>
        <w:t xml:space="preserve">compatibilidade </w:t>
      </w:r>
      <w:r w:rsidR="00C07373">
        <w:rPr>
          <w:rStyle w:val="citation-93"/>
          <w:rFonts w:ascii="Open Sans" w:hAnsi="Open Sans" w:cs="Open Sans"/>
          <w:sz w:val="20"/>
          <w:szCs w:val="20"/>
        </w:rPr>
        <w:t xml:space="preserve">no </w:t>
      </w:r>
      <w:r w:rsidRPr="00B26039">
        <w:rPr>
          <w:rStyle w:val="citation-93"/>
          <w:rFonts w:ascii="Open Sans" w:hAnsi="Open Sans" w:cs="Open Sans"/>
          <w:sz w:val="20"/>
          <w:szCs w:val="20"/>
        </w:rPr>
        <w:t>futur</w:t>
      </w:r>
      <w:r w:rsidR="00C07373">
        <w:rPr>
          <w:rStyle w:val="citation-93"/>
          <w:rFonts w:ascii="Open Sans" w:hAnsi="Open Sans" w:cs="Open Sans"/>
          <w:sz w:val="20"/>
          <w:szCs w:val="20"/>
        </w:rPr>
        <w:t>o</w:t>
      </w:r>
      <w:r w:rsidRPr="00B26039">
        <w:rPr>
          <w:rStyle w:val="citation-93"/>
          <w:rFonts w:ascii="Open Sans" w:hAnsi="Open Sans" w:cs="Open Sans"/>
          <w:sz w:val="20"/>
          <w:szCs w:val="20"/>
        </w:rPr>
        <w:t xml:space="preserve"> </w:t>
      </w:r>
      <w:r w:rsidR="00727EB9">
        <w:rPr>
          <w:rStyle w:val="citation-93"/>
          <w:rFonts w:ascii="Open Sans" w:hAnsi="Open Sans" w:cs="Open Sans"/>
          <w:sz w:val="20"/>
          <w:szCs w:val="20"/>
        </w:rPr>
        <w:t>quando ocorrerem atualizações</w:t>
      </w:r>
      <w:r w:rsidRPr="00B26039">
        <w:rPr>
          <w:rStyle w:val="citation-93"/>
          <w:rFonts w:ascii="Open Sans" w:hAnsi="Open Sans" w:cs="Open Sans"/>
          <w:sz w:val="20"/>
          <w:szCs w:val="20"/>
        </w:rPr>
        <w:t>, protegendo o investimento público ao longo do ciclo de vida do equipamento</w:t>
      </w:r>
      <w:r w:rsidRPr="00B26039">
        <w:rPr>
          <w:rFonts w:ascii="Open Sans" w:hAnsi="Open Sans" w:cs="Open Sans"/>
          <w:sz w:val="20"/>
          <w:szCs w:val="20"/>
        </w:rPr>
        <w:t>.</w:t>
      </w:r>
    </w:p>
    <w:p w14:paraId="0D88DA8E" w14:textId="77777777" w:rsidR="00727EB9" w:rsidRPr="00B26039" w:rsidRDefault="00727EB9" w:rsidP="00727EB9">
      <w:pPr>
        <w:pStyle w:val="NormalWeb"/>
        <w:spacing w:before="0" w:beforeAutospacing="0" w:after="0" w:afterAutospacing="0"/>
        <w:ind w:left="720"/>
        <w:jc w:val="both"/>
        <w:rPr>
          <w:rFonts w:ascii="Open Sans" w:hAnsi="Open Sans" w:cs="Open Sans"/>
          <w:sz w:val="20"/>
          <w:szCs w:val="20"/>
        </w:rPr>
      </w:pPr>
    </w:p>
    <w:p w14:paraId="05E77455" w14:textId="77777777" w:rsidR="00B26039" w:rsidRDefault="00B26039" w:rsidP="00B26039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B26039">
        <w:rPr>
          <w:rFonts w:ascii="Open Sans" w:hAnsi="Open Sans" w:cs="Open Sans"/>
          <w:b/>
          <w:bCs/>
          <w:sz w:val="20"/>
          <w:szCs w:val="20"/>
        </w:rPr>
        <w:t>3.2. Padronização da Experiência do Usuário e Eficiência Operacional</w:t>
      </w:r>
    </w:p>
    <w:p w14:paraId="394C939F" w14:textId="77777777" w:rsidR="00727EB9" w:rsidRPr="00B26039" w:rsidRDefault="00727EB9" w:rsidP="00B26039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</w:p>
    <w:p w14:paraId="1FF20AAB" w14:textId="1CC25E24" w:rsidR="00727EB9" w:rsidRDefault="00B26039" w:rsidP="00B26039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  <w:r w:rsidRPr="00B26039">
        <w:rPr>
          <w:rStyle w:val="citation-92"/>
          <w:rFonts w:ascii="Open Sans" w:hAnsi="Open Sans" w:cs="Open Sans"/>
          <w:sz w:val="20"/>
          <w:szCs w:val="20"/>
        </w:rPr>
        <w:t>A qualidade da comunicação por vídeo impacta diretamente a eficiência das atividades institucionais</w:t>
      </w:r>
      <w:r w:rsidRPr="00B26039">
        <w:rPr>
          <w:rFonts w:ascii="Open Sans" w:hAnsi="Open Sans" w:cs="Open Sans"/>
          <w:sz w:val="20"/>
          <w:szCs w:val="20"/>
        </w:rPr>
        <w:t xml:space="preserve">. A certificação estabelece um </w:t>
      </w:r>
      <w:r w:rsidR="003644C3" w:rsidRPr="003644C3">
        <w:rPr>
          <w:rFonts w:ascii="Open Sans" w:hAnsi="Open Sans" w:cs="Open Sans"/>
          <w:sz w:val="20"/>
          <w:szCs w:val="20"/>
        </w:rPr>
        <w:t>patamar</w:t>
      </w:r>
      <w:r w:rsidRPr="00B26039">
        <w:rPr>
          <w:rFonts w:ascii="Open Sans" w:hAnsi="Open Sans" w:cs="Open Sans"/>
          <w:sz w:val="20"/>
          <w:szCs w:val="20"/>
        </w:rPr>
        <w:t xml:space="preserve"> </w:t>
      </w:r>
      <w:r w:rsidR="003644C3">
        <w:rPr>
          <w:rFonts w:ascii="Open Sans" w:hAnsi="Open Sans" w:cs="Open Sans"/>
          <w:sz w:val="20"/>
          <w:szCs w:val="20"/>
        </w:rPr>
        <w:t xml:space="preserve">mínimo </w:t>
      </w:r>
      <w:r w:rsidRPr="00B26039">
        <w:rPr>
          <w:rFonts w:ascii="Open Sans" w:hAnsi="Open Sans" w:cs="Open Sans"/>
          <w:sz w:val="20"/>
          <w:szCs w:val="20"/>
        </w:rPr>
        <w:t>de performance que transcende especificações nominais.</w:t>
      </w:r>
    </w:p>
    <w:p w14:paraId="56D658CA" w14:textId="77777777" w:rsidR="0021025A" w:rsidRPr="00B26039" w:rsidRDefault="0021025A" w:rsidP="00B26039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</w:p>
    <w:p w14:paraId="7032BAC1" w14:textId="65406CB5" w:rsidR="003644C3" w:rsidRPr="00790796" w:rsidRDefault="00B26039" w:rsidP="00790796">
      <w:pPr>
        <w:pStyle w:val="NormalWeb"/>
        <w:numPr>
          <w:ilvl w:val="0"/>
          <w:numId w:val="23"/>
        </w:numPr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  <w:r w:rsidRPr="00B26039">
        <w:rPr>
          <w:rFonts w:ascii="Open Sans" w:hAnsi="Open Sans" w:cs="Open Sans"/>
          <w:b/>
          <w:bCs/>
          <w:sz w:val="20"/>
          <w:szCs w:val="20"/>
        </w:rPr>
        <w:t>Processamento de Imagem:</w:t>
      </w:r>
      <w:r w:rsidRPr="00B26039">
        <w:rPr>
          <w:rFonts w:ascii="Open Sans" w:hAnsi="Open Sans" w:cs="Open Sans"/>
          <w:sz w:val="20"/>
          <w:szCs w:val="20"/>
        </w:rPr>
        <w:t xml:space="preserve"> </w:t>
      </w:r>
      <w:r w:rsidR="00727EB9">
        <w:rPr>
          <w:rFonts w:ascii="Open Sans" w:hAnsi="Open Sans" w:cs="Open Sans"/>
          <w:sz w:val="20"/>
          <w:szCs w:val="20"/>
        </w:rPr>
        <w:t xml:space="preserve">a </w:t>
      </w:r>
      <w:r w:rsidRPr="00B26039">
        <w:rPr>
          <w:rFonts w:ascii="Open Sans" w:hAnsi="Open Sans" w:cs="Open Sans"/>
          <w:sz w:val="20"/>
          <w:szCs w:val="20"/>
        </w:rPr>
        <w:t xml:space="preserve">certificação valida o desempenho do processador de sinal de imagem (ISP) do dispositivo em cenários de uso real. </w:t>
      </w:r>
      <w:r w:rsidRPr="00B26039">
        <w:rPr>
          <w:rStyle w:val="citation-91"/>
          <w:rFonts w:ascii="Open Sans" w:hAnsi="Open Sans" w:cs="Open Sans"/>
          <w:sz w:val="20"/>
          <w:szCs w:val="20"/>
        </w:rPr>
        <w:t>Isso inclui a performance em condições de baixa luminosidade, o balanço de branco automático (AWB) e o foco, que em dispositivos não-certificados frequentemente resultam em imagem granulada, com cores distorcidas ou sem foco, comprometendo a comunicação profissional</w:t>
      </w:r>
      <w:r w:rsidRPr="00B26039">
        <w:rPr>
          <w:rFonts w:ascii="Open Sans" w:hAnsi="Open Sans" w:cs="Open Sans"/>
          <w:sz w:val="20"/>
          <w:szCs w:val="20"/>
        </w:rPr>
        <w:t>.</w:t>
      </w:r>
    </w:p>
    <w:p w14:paraId="5901CD7C" w14:textId="219FFACC" w:rsidR="00B26039" w:rsidRDefault="00B26039" w:rsidP="00B26039">
      <w:pPr>
        <w:pStyle w:val="NormalWeb"/>
        <w:numPr>
          <w:ilvl w:val="0"/>
          <w:numId w:val="23"/>
        </w:numPr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  <w:r w:rsidRPr="00B26039">
        <w:rPr>
          <w:rStyle w:val="citation-90"/>
          <w:rFonts w:ascii="Open Sans" w:hAnsi="Open Sans" w:cs="Open Sans"/>
          <w:b/>
          <w:bCs/>
          <w:sz w:val="20"/>
          <w:szCs w:val="20"/>
        </w:rPr>
        <w:t>Otimização de Recursos:</w:t>
      </w:r>
      <w:r w:rsidRPr="00B26039">
        <w:rPr>
          <w:rStyle w:val="citation-90"/>
          <w:rFonts w:ascii="Open Sans" w:hAnsi="Open Sans" w:cs="Open Sans"/>
          <w:sz w:val="20"/>
          <w:szCs w:val="20"/>
        </w:rPr>
        <w:t xml:space="preserve"> </w:t>
      </w:r>
      <w:r w:rsidR="00727EB9">
        <w:rPr>
          <w:rStyle w:val="citation-90"/>
          <w:rFonts w:ascii="Open Sans" w:hAnsi="Open Sans" w:cs="Open Sans"/>
          <w:sz w:val="20"/>
          <w:szCs w:val="20"/>
        </w:rPr>
        <w:t>w</w:t>
      </w:r>
      <w:r w:rsidRPr="00B26039">
        <w:rPr>
          <w:rStyle w:val="citation-90"/>
          <w:rFonts w:ascii="Open Sans" w:hAnsi="Open Sans" w:cs="Open Sans"/>
          <w:sz w:val="20"/>
          <w:szCs w:val="20"/>
        </w:rPr>
        <w:t xml:space="preserve">ebcams certificadas são projetadas para otimizar </w:t>
      </w:r>
      <w:r w:rsidR="00850B2B">
        <w:rPr>
          <w:rStyle w:val="citation-90"/>
          <w:rFonts w:ascii="Open Sans" w:hAnsi="Open Sans" w:cs="Open Sans"/>
          <w:sz w:val="20"/>
          <w:szCs w:val="20"/>
        </w:rPr>
        <w:t>o</w:t>
      </w:r>
      <w:r w:rsidRPr="00B26039">
        <w:rPr>
          <w:rStyle w:val="citation-90"/>
          <w:rFonts w:ascii="Open Sans" w:hAnsi="Open Sans" w:cs="Open Sans"/>
          <w:sz w:val="20"/>
          <w:szCs w:val="20"/>
        </w:rPr>
        <w:t xml:space="preserve"> processamento de vídeo, utilizando os recursos de </w:t>
      </w:r>
      <w:r w:rsidRPr="00B26039">
        <w:rPr>
          <w:rStyle w:val="citation-90"/>
          <w:rFonts w:ascii="Open Sans" w:hAnsi="Open Sans" w:cs="Open Sans"/>
          <w:i/>
          <w:iCs/>
          <w:sz w:val="20"/>
          <w:szCs w:val="20"/>
        </w:rPr>
        <w:t>hardware</w:t>
      </w:r>
      <w:r w:rsidRPr="00B26039">
        <w:rPr>
          <w:rStyle w:val="citation-90"/>
          <w:rFonts w:ascii="Open Sans" w:hAnsi="Open Sans" w:cs="Open Sans"/>
          <w:sz w:val="20"/>
          <w:szCs w:val="20"/>
        </w:rPr>
        <w:t xml:space="preserve"> de forma mais eficiente e reduzindo a carga sobre a CPU do computador</w:t>
      </w:r>
      <w:r w:rsidRPr="00B26039">
        <w:rPr>
          <w:rFonts w:ascii="Open Sans" w:hAnsi="Open Sans" w:cs="Open Sans"/>
          <w:sz w:val="20"/>
          <w:szCs w:val="20"/>
        </w:rPr>
        <w:t>. Isso é crítico para garantir que outras aplicações essenciais possam ser executadas simultaneamente durante uma videoconferência sem degradação de performance.</w:t>
      </w:r>
    </w:p>
    <w:p w14:paraId="087A4C67" w14:textId="77777777" w:rsidR="00850B2B" w:rsidRPr="00B26039" w:rsidRDefault="00850B2B" w:rsidP="00850B2B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</w:p>
    <w:p w14:paraId="3534FC91" w14:textId="5DE145BC" w:rsidR="00B26039" w:rsidRDefault="00B26039" w:rsidP="00B26039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B26039">
        <w:rPr>
          <w:rFonts w:ascii="Open Sans" w:hAnsi="Open Sans" w:cs="Open Sans"/>
          <w:b/>
          <w:bCs/>
          <w:sz w:val="20"/>
          <w:szCs w:val="20"/>
        </w:rPr>
        <w:t>3.3. Mitigação de Riscos e Redução do Custo Total de Propriedade</w:t>
      </w:r>
    </w:p>
    <w:p w14:paraId="6F26DD13" w14:textId="77777777" w:rsidR="00850B2B" w:rsidRPr="00B26039" w:rsidRDefault="00850B2B" w:rsidP="00B26039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</w:p>
    <w:p w14:paraId="4CCA1D71" w14:textId="100389E4" w:rsidR="00B26039" w:rsidRDefault="00B26039" w:rsidP="00B26039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  <w:r w:rsidRPr="00B26039">
        <w:rPr>
          <w:rFonts w:ascii="Open Sans" w:hAnsi="Open Sans" w:cs="Open Sans"/>
          <w:sz w:val="20"/>
          <w:szCs w:val="20"/>
        </w:rPr>
        <w:t xml:space="preserve">A aparente economicidade de dispositivos não-certificados é frequentemente anulada </w:t>
      </w:r>
      <w:r w:rsidR="00790796">
        <w:rPr>
          <w:rFonts w:ascii="Open Sans" w:hAnsi="Open Sans" w:cs="Open Sans"/>
          <w:sz w:val="20"/>
          <w:szCs w:val="20"/>
        </w:rPr>
        <w:t>pelos seguintes motivos</w:t>
      </w:r>
      <w:r w:rsidR="00415A65">
        <w:rPr>
          <w:rFonts w:ascii="Open Sans" w:hAnsi="Open Sans" w:cs="Open Sans"/>
          <w:sz w:val="20"/>
          <w:szCs w:val="20"/>
        </w:rPr>
        <w:t>:</w:t>
      </w:r>
    </w:p>
    <w:p w14:paraId="7F4A42CC" w14:textId="77777777" w:rsidR="00790796" w:rsidRPr="00B26039" w:rsidRDefault="00790796" w:rsidP="00B26039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</w:p>
    <w:p w14:paraId="00D85EEE" w14:textId="72CD9C68" w:rsidR="00B26039" w:rsidRPr="00B26039" w:rsidRDefault="00B26039" w:rsidP="00B26039">
      <w:pPr>
        <w:pStyle w:val="NormalWeb"/>
        <w:numPr>
          <w:ilvl w:val="0"/>
          <w:numId w:val="24"/>
        </w:numPr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  <w:r w:rsidRPr="00B26039">
        <w:rPr>
          <w:rFonts w:ascii="Open Sans" w:hAnsi="Open Sans" w:cs="Open Sans"/>
          <w:b/>
          <w:bCs/>
          <w:sz w:val="20"/>
          <w:szCs w:val="20"/>
        </w:rPr>
        <w:t>Chamados de Suporte (Help Desk):</w:t>
      </w:r>
      <w:r w:rsidRPr="00B26039">
        <w:rPr>
          <w:rFonts w:ascii="Open Sans" w:hAnsi="Open Sans" w:cs="Open Sans"/>
          <w:sz w:val="20"/>
          <w:szCs w:val="20"/>
        </w:rPr>
        <w:t xml:space="preserve"> </w:t>
      </w:r>
      <w:r w:rsidR="00790796">
        <w:rPr>
          <w:rFonts w:ascii="Open Sans" w:hAnsi="Open Sans" w:cs="Open Sans"/>
          <w:sz w:val="20"/>
          <w:szCs w:val="20"/>
        </w:rPr>
        <w:t>a</w:t>
      </w:r>
      <w:r w:rsidRPr="00B26039">
        <w:rPr>
          <w:rFonts w:ascii="Open Sans" w:hAnsi="Open Sans" w:cs="Open Sans"/>
          <w:sz w:val="20"/>
          <w:szCs w:val="20"/>
        </w:rPr>
        <w:t xml:space="preserve"> principal causa de falhas em periféricos de vídeo é a incompatibilidade de </w:t>
      </w:r>
      <w:r w:rsidRPr="00B26039">
        <w:rPr>
          <w:rFonts w:ascii="Open Sans" w:hAnsi="Open Sans" w:cs="Open Sans"/>
          <w:i/>
          <w:iCs/>
          <w:sz w:val="20"/>
          <w:szCs w:val="20"/>
        </w:rPr>
        <w:t>drivers</w:t>
      </w:r>
      <w:r w:rsidRPr="00B26039">
        <w:rPr>
          <w:rFonts w:ascii="Open Sans" w:hAnsi="Open Sans" w:cs="Open Sans"/>
          <w:sz w:val="20"/>
          <w:szCs w:val="20"/>
        </w:rPr>
        <w:t xml:space="preserve">. </w:t>
      </w:r>
      <w:r w:rsidRPr="00B26039">
        <w:rPr>
          <w:rStyle w:val="citation-89"/>
          <w:rFonts w:ascii="Open Sans" w:hAnsi="Open Sans" w:cs="Open Sans"/>
          <w:sz w:val="20"/>
          <w:szCs w:val="20"/>
        </w:rPr>
        <w:t xml:space="preserve">Dispositivos certificados eliminam essa variável, resultando em uma redução mensurável no volume de </w:t>
      </w:r>
      <w:r w:rsidRPr="00790796">
        <w:rPr>
          <w:rStyle w:val="citation-89"/>
          <w:rFonts w:ascii="Open Sans" w:hAnsi="Open Sans" w:cs="Open Sans"/>
          <w:i/>
          <w:iCs/>
          <w:sz w:val="20"/>
          <w:szCs w:val="20"/>
        </w:rPr>
        <w:t>tickets</w:t>
      </w:r>
      <w:r w:rsidRPr="00B26039">
        <w:rPr>
          <w:rStyle w:val="citation-89"/>
          <w:rFonts w:ascii="Open Sans" w:hAnsi="Open Sans" w:cs="Open Sans"/>
          <w:sz w:val="20"/>
          <w:szCs w:val="20"/>
        </w:rPr>
        <w:t xml:space="preserve"> de suporte técnico, liberando a equipe de TI para se concentrar em atividades de maior valor agregado para a Agência</w:t>
      </w:r>
      <w:r w:rsidRPr="00B26039">
        <w:rPr>
          <w:rFonts w:ascii="Open Sans" w:hAnsi="Open Sans" w:cs="Open Sans"/>
          <w:sz w:val="20"/>
          <w:szCs w:val="20"/>
        </w:rPr>
        <w:t>.</w:t>
      </w:r>
    </w:p>
    <w:p w14:paraId="07BE9300" w14:textId="54F644E8" w:rsidR="00B26039" w:rsidRDefault="00B26039" w:rsidP="00B26039">
      <w:pPr>
        <w:pStyle w:val="NormalWeb"/>
        <w:numPr>
          <w:ilvl w:val="0"/>
          <w:numId w:val="24"/>
        </w:numPr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  <w:r w:rsidRPr="00B26039">
        <w:rPr>
          <w:rStyle w:val="citation-88"/>
          <w:rFonts w:ascii="Open Sans" w:hAnsi="Open Sans" w:cs="Open Sans"/>
          <w:b/>
          <w:bCs/>
          <w:sz w:val="20"/>
          <w:szCs w:val="20"/>
        </w:rPr>
        <w:t>Substituição Precoce:</w:t>
      </w:r>
      <w:r w:rsidRPr="00B26039">
        <w:rPr>
          <w:rStyle w:val="citation-88"/>
          <w:rFonts w:ascii="Open Sans" w:hAnsi="Open Sans" w:cs="Open Sans"/>
          <w:sz w:val="20"/>
          <w:szCs w:val="20"/>
        </w:rPr>
        <w:t xml:space="preserve"> </w:t>
      </w:r>
      <w:r w:rsidR="00790796">
        <w:rPr>
          <w:rStyle w:val="citation-88"/>
          <w:rFonts w:ascii="Open Sans" w:hAnsi="Open Sans" w:cs="Open Sans"/>
          <w:sz w:val="20"/>
          <w:szCs w:val="20"/>
        </w:rPr>
        <w:t>a</w:t>
      </w:r>
      <w:r w:rsidRPr="00B26039">
        <w:rPr>
          <w:rStyle w:val="citation-88"/>
          <w:rFonts w:ascii="Open Sans" w:hAnsi="Open Sans" w:cs="Open Sans"/>
          <w:sz w:val="20"/>
          <w:szCs w:val="20"/>
        </w:rPr>
        <w:t xml:space="preserve"> incompatibilidade ou o desempenho insatisfatório de dispositivos genéricos leva à sua substituição antes do término do ciclo de vida contábil do ativo, gerando despesas não planejadas e prejuízo ao erário</w:t>
      </w:r>
      <w:r w:rsidRPr="00B26039">
        <w:rPr>
          <w:rFonts w:ascii="Open Sans" w:hAnsi="Open Sans" w:cs="Open Sans"/>
          <w:sz w:val="20"/>
          <w:szCs w:val="20"/>
        </w:rPr>
        <w:t>. A certificação funciona como um seguro de qualidade que prolonga a vida útil do investimento.</w:t>
      </w:r>
    </w:p>
    <w:p w14:paraId="21B57B11" w14:textId="77777777" w:rsidR="00790796" w:rsidRPr="00B26039" w:rsidRDefault="00790796" w:rsidP="00790796">
      <w:pPr>
        <w:pStyle w:val="NormalWeb"/>
        <w:spacing w:before="0" w:beforeAutospacing="0" w:after="0" w:afterAutospacing="0"/>
        <w:ind w:left="720"/>
        <w:jc w:val="both"/>
        <w:rPr>
          <w:rFonts w:ascii="Open Sans" w:hAnsi="Open Sans" w:cs="Open Sans"/>
          <w:sz w:val="20"/>
          <w:szCs w:val="20"/>
        </w:rPr>
      </w:pPr>
    </w:p>
    <w:p w14:paraId="351A25DE" w14:textId="59677A75" w:rsidR="00B26039" w:rsidRDefault="00B26039" w:rsidP="00B26039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B26039">
        <w:rPr>
          <w:rFonts w:ascii="Open Sans" w:hAnsi="Open Sans" w:cs="Open Sans"/>
          <w:b/>
          <w:bCs/>
          <w:sz w:val="20"/>
          <w:szCs w:val="20"/>
        </w:rPr>
        <w:t>3.4. Conformidade e Competitividade</w:t>
      </w:r>
    </w:p>
    <w:p w14:paraId="7F89EE3D" w14:textId="77777777" w:rsidR="00790796" w:rsidRPr="00B26039" w:rsidRDefault="00790796" w:rsidP="00B26039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</w:p>
    <w:p w14:paraId="472B83D6" w14:textId="247547A0" w:rsidR="00B26039" w:rsidRDefault="00B26039" w:rsidP="00B26039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  <w:r w:rsidRPr="00B26039">
        <w:rPr>
          <w:rFonts w:ascii="Open Sans" w:hAnsi="Open Sans" w:cs="Open Sans"/>
          <w:sz w:val="20"/>
          <w:szCs w:val="20"/>
        </w:rPr>
        <w:t>A exigência de certificação não restringe a competição</w:t>
      </w:r>
      <w:r w:rsidR="00253697">
        <w:rPr>
          <w:rFonts w:ascii="Open Sans" w:hAnsi="Open Sans" w:cs="Open Sans"/>
          <w:sz w:val="20"/>
          <w:szCs w:val="20"/>
        </w:rPr>
        <w:t>.</w:t>
      </w:r>
      <w:r w:rsidRPr="00B26039">
        <w:rPr>
          <w:rFonts w:ascii="Open Sans" w:hAnsi="Open Sans" w:cs="Open Sans"/>
          <w:sz w:val="20"/>
          <w:szCs w:val="20"/>
        </w:rPr>
        <w:t xml:space="preserve"> </w:t>
      </w:r>
      <w:r w:rsidR="00253697">
        <w:rPr>
          <w:rFonts w:ascii="Open Sans" w:hAnsi="Open Sans" w:cs="Open Sans"/>
          <w:sz w:val="20"/>
          <w:szCs w:val="20"/>
        </w:rPr>
        <w:t>P</w:t>
      </w:r>
      <w:r w:rsidRPr="00B26039">
        <w:rPr>
          <w:rFonts w:ascii="Open Sans" w:hAnsi="Open Sans" w:cs="Open Sans"/>
          <w:sz w:val="20"/>
          <w:szCs w:val="20"/>
        </w:rPr>
        <w:t>elo contrário, qualifica-a</w:t>
      </w:r>
      <w:r w:rsidR="00056AD0">
        <w:rPr>
          <w:rFonts w:ascii="Open Sans" w:hAnsi="Open Sans" w:cs="Open Sans"/>
          <w:sz w:val="20"/>
          <w:szCs w:val="20"/>
        </w:rPr>
        <w:t>:</w:t>
      </w:r>
      <w:r w:rsidRPr="00B26039">
        <w:rPr>
          <w:rFonts w:ascii="Open Sans" w:hAnsi="Open Sans" w:cs="Open Sans"/>
          <w:sz w:val="20"/>
          <w:szCs w:val="20"/>
        </w:rPr>
        <w:t xml:space="preserve"> </w:t>
      </w:r>
      <w:r w:rsidR="00056AD0">
        <w:rPr>
          <w:rFonts w:ascii="Open Sans" w:hAnsi="Open Sans" w:cs="Open Sans"/>
          <w:sz w:val="20"/>
          <w:szCs w:val="20"/>
        </w:rPr>
        <w:t>d</w:t>
      </w:r>
      <w:r w:rsidRPr="00B26039">
        <w:rPr>
          <w:rFonts w:ascii="Open Sans" w:hAnsi="Open Sans" w:cs="Open Sans"/>
          <w:sz w:val="20"/>
          <w:szCs w:val="20"/>
        </w:rPr>
        <w:t xml:space="preserve">efine um critério técnico objetivo que assegura a participação de fornecedores que podem prover soluções aderentes ao ambiente tecnológico da ANM. </w:t>
      </w:r>
      <w:r w:rsidRPr="00B26039">
        <w:rPr>
          <w:rStyle w:val="citation-87"/>
          <w:rFonts w:ascii="Open Sans" w:hAnsi="Open Sans" w:cs="Open Sans"/>
          <w:sz w:val="20"/>
          <w:szCs w:val="20"/>
        </w:rPr>
        <w:t xml:space="preserve">O mercado de periféricos certificados para </w:t>
      </w:r>
      <w:r w:rsidRPr="00253697">
        <w:rPr>
          <w:rStyle w:val="citation-87"/>
          <w:rFonts w:ascii="Open Sans" w:hAnsi="Open Sans" w:cs="Open Sans"/>
          <w:i/>
          <w:iCs/>
          <w:sz w:val="20"/>
          <w:szCs w:val="20"/>
        </w:rPr>
        <w:t>Microsoft Teams</w:t>
      </w:r>
      <w:r w:rsidRPr="00B26039">
        <w:rPr>
          <w:rStyle w:val="citation-87"/>
          <w:rFonts w:ascii="Open Sans" w:hAnsi="Open Sans" w:cs="Open Sans"/>
          <w:sz w:val="20"/>
          <w:szCs w:val="20"/>
        </w:rPr>
        <w:t xml:space="preserve"> é vasto e competitivo, incluindo múltiplos fabricantes como Logitech, Dell, Lenovo, HP, Poly e </w:t>
      </w:r>
      <w:proofErr w:type="spellStart"/>
      <w:r w:rsidRPr="00B26039">
        <w:rPr>
          <w:rStyle w:val="citation-87"/>
          <w:rFonts w:ascii="Open Sans" w:hAnsi="Open Sans" w:cs="Open Sans"/>
          <w:sz w:val="20"/>
          <w:szCs w:val="20"/>
        </w:rPr>
        <w:t>Yealink</w:t>
      </w:r>
      <w:proofErr w:type="spellEnd"/>
      <w:r w:rsidRPr="00B26039">
        <w:rPr>
          <w:rStyle w:val="citation-87"/>
          <w:rFonts w:ascii="Open Sans" w:hAnsi="Open Sans" w:cs="Open Sans"/>
          <w:sz w:val="20"/>
          <w:szCs w:val="20"/>
        </w:rPr>
        <w:t>, o que garante a isonomia e a busca pela proposta mais vantajosa, conforme preceitua a Lei n</w:t>
      </w:r>
      <w:r w:rsidR="00253697">
        <w:rPr>
          <w:rStyle w:val="citation-87"/>
          <w:rFonts w:ascii="Open Sans" w:hAnsi="Open Sans" w:cs="Open Sans"/>
          <w:sz w:val="20"/>
          <w:szCs w:val="20"/>
        </w:rPr>
        <w:t>.</w:t>
      </w:r>
      <w:r w:rsidRPr="00B26039">
        <w:rPr>
          <w:rStyle w:val="citation-87"/>
          <w:rFonts w:ascii="Open Sans" w:hAnsi="Open Sans" w:cs="Open Sans"/>
          <w:sz w:val="20"/>
          <w:szCs w:val="20"/>
        </w:rPr>
        <w:t xml:space="preserve"> 14.133/2021</w:t>
      </w:r>
      <w:r w:rsidRPr="00B26039">
        <w:rPr>
          <w:rFonts w:ascii="Open Sans" w:hAnsi="Open Sans" w:cs="Open Sans"/>
          <w:sz w:val="20"/>
          <w:szCs w:val="20"/>
        </w:rPr>
        <w:t>.</w:t>
      </w:r>
    </w:p>
    <w:p w14:paraId="444F013E" w14:textId="77777777" w:rsidR="00790796" w:rsidRDefault="00790796" w:rsidP="00B26039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</w:p>
    <w:p w14:paraId="48091E30" w14:textId="77777777" w:rsidR="0021025A" w:rsidRPr="00B26039" w:rsidRDefault="0021025A" w:rsidP="00B26039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</w:p>
    <w:p w14:paraId="6B6D8431" w14:textId="77777777" w:rsidR="00B26039" w:rsidRDefault="00B26039" w:rsidP="00B26039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B26039">
        <w:rPr>
          <w:rFonts w:ascii="Open Sans" w:hAnsi="Open Sans" w:cs="Open Sans"/>
          <w:b/>
          <w:bCs/>
          <w:sz w:val="20"/>
          <w:szCs w:val="20"/>
        </w:rPr>
        <w:t>4. CONCLUSÃO</w:t>
      </w:r>
    </w:p>
    <w:p w14:paraId="0348F5C5" w14:textId="77777777" w:rsidR="00253697" w:rsidRPr="00B26039" w:rsidRDefault="00253697" w:rsidP="00B26039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</w:p>
    <w:p w14:paraId="6DA8B813" w14:textId="28CFE948" w:rsidR="00B26039" w:rsidRPr="00253697" w:rsidRDefault="00B26039" w:rsidP="00253697">
      <w:pPr>
        <w:pStyle w:val="NormalWeb"/>
        <w:spacing w:before="0" w:beforeAutospacing="0" w:after="0" w:afterAutospacing="0"/>
        <w:jc w:val="both"/>
        <w:rPr>
          <w:rFonts w:ascii="Open Sans" w:hAnsi="Open Sans" w:cs="Open Sans"/>
          <w:sz w:val="20"/>
          <w:szCs w:val="20"/>
        </w:rPr>
      </w:pPr>
      <w:r w:rsidRPr="00B26039">
        <w:rPr>
          <w:rFonts w:ascii="Open Sans" w:hAnsi="Open Sans" w:cs="Open Sans"/>
          <w:sz w:val="20"/>
          <w:szCs w:val="20"/>
        </w:rPr>
        <w:t xml:space="preserve">Pelo exposto, a exigência de certificação para </w:t>
      </w:r>
      <w:r w:rsidRPr="00253697">
        <w:rPr>
          <w:rFonts w:ascii="Open Sans" w:hAnsi="Open Sans" w:cs="Open Sans"/>
          <w:i/>
          <w:iCs/>
          <w:sz w:val="20"/>
          <w:szCs w:val="20"/>
        </w:rPr>
        <w:t>Microsoft Teams</w:t>
      </w:r>
      <w:r w:rsidRPr="00B26039">
        <w:rPr>
          <w:rFonts w:ascii="Open Sans" w:hAnsi="Open Sans" w:cs="Open Sans"/>
          <w:sz w:val="20"/>
          <w:szCs w:val="20"/>
        </w:rPr>
        <w:t xml:space="preserve"> é uma especificação técnica indispensável, motivada pela necessidade de garantir a governança, a segurança, o desempenho e a sustentabilidade do parque tecnológico da ANM. A medida está estritamente alinhada aos princípios da eficiência e da economicidade, pois assegura a aquisição de um ativo de tecnologia com máxima compatibilidade, performance garantida e menor Custo Total de Propriedade, protegendo o investimento público e viabilizando a execução eficaz das atividades institucionais.</w:t>
      </w:r>
    </w:p>
    <w:sectPr w:rsidR="00B26039" w:rsidRPr="00253697" w:rsidSect="007B43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800" w:right="1134" w:bottom="1134" w:left="1134" w:header="964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1EDE1" w14:textId="77777777" w:rsidR="00FE51A7" w:rsidRDefault="00FE51A7">
      <w:pPr>
        <w:spacing w:after="0" w:line="240" w:lineRule="auto"/>
      </w:pPr>
      <w:r>
        <w:separator/>
      </w:r>
    </w:p>
  </w:endnote>
  <w:endnote w:type="continuationSeparator" w:id="0">
    <w:p w14:paraId="577D4751" w14:textId="77777777" w:rsidR="00FE51A7" w:rsidRDefault="00FE51A7">
      <w:pPr>
        <w:spacing w:after="0" w:line="240" w:lineRule="auto"/>
      </w:pPr>
      <w:r>
        <w:continuationSeparator/>
      </w:r>
    </w:p>
  </w:endnote>
  <w:endnote w:type="continuationNotice" w:id="1">
    <w:p w14:paraId="4F8695A0" w14:textId="77777777" w:rsidR="00FE51A7" w:rsidRDefault="00FE51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77CA5" w14:textId="77777777" w:rsidR="00744DA5" w:rsidRDefault="00075B0C">
    <w:pPr>
      <w:spacing w:after="0" w:line="259" w:lineRule="auto"/>
      <w:ind w:left="0" w:right="7" w:firstLine="0"/>
      <w:jc w:val="righ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56802BE5" wp14:editId="0E20CADC">
              <wp:simplePos x="0" y="0"/>
              <wp:positionH relativeFrom="page">
                <wp:posOffset>2539</wp:posOffset>
              </wp:positionH>
              <wp:positionV relativeFrom="page">
                <wp:posOffset>10453656</wp:posOffset>
              </wp:positionV>
              <wp:extent cx="7558025" cy="181077"/>
              <wp:effectExtent l="0" t="0" r="0" b="0"/>
              <wp:wrapSquare wrapText="bothSides"/>
              <wp:docPr id="12925" name="Group 129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8025" cy="181077"/>
                        <a:chOff x="0" y="0"/>
                        <a:chExt cx="7558025" cy="181077"/>
                      </a:xfrm>
                    </wpg:grpSpPr>
                    <wps:wsp>
                      <wps:cNvPr id="13400" name="Shape 13400"/>
                      <wps:cNvSpPr/>
                      <wps:spPr>
                        <a:xfrm>
                          <a:off x="0" y="0"/>
                          <a:ext cx="5039995" cy="18107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39995" h="181077">
                              <a:moveTo>
                                <a:pt x="0" y="0"/>
                              </a:moveTo>
                              <a:lnTo>
                                <a:pt x="5039995" y="0"/>
                              </a:lnTo>
                              <a:lnTo>
                                <a:pt x="5039995" y="181077"/>
                              </a:lnTo>
                              <a:lnTo>
                                <a:pt x="0" y="18107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E7B5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401" name="Shape 13401"/>
                      <wps:cNvSpPr/>
                      <wps:spPr>
                        <a:xfrm>
                          <a:off x="5041393" y="0"/>
                          <a:ext cx="2516631" cy="18107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16631" h="181077">
                              <a:moveTo>
                                <a:pt x="0" y="0"/>
                              </a:moveTo>
                              <a:lnTo>
                                <a:pt x="2516631" y="0"/>
                              </a:lnTo>
                              <a:lnTo>
                                <a:pt x="2516631" y="181077"/>
                              </a:lnTo>
                              <a:lnTo>
                                <a:pt x="0" y="18107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CC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A1A4A2D" id="Group 12925" o:spid="_x0000_s1026" style="position:absolute;margin-left:.2pt;margin-top:823.1pt;width:595.1pt;height:14.25pt;z-index:251658242;mso-position-horizontal-relative:page;mso-position-vertical-relative:page" coordsize="75580,1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">
              <v:shape id="Shape 13400" o:spid="_x0000_s1027" style="position:absolute;width:50399;height:1810;visibility:visible;mso-wrap-style:square;v-text-anchor:top" coordsize="5039995,181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" path="m,l5039995,r,181077l,181077,,e" fillcolor="#1e7b50" stroked="f" strokeweight="0">
                <v:stroke miterlimit="83231f" joinstyle="miter"/>
                <v:path arrowok="t" textboxrect="0,0,5039995,181077"/>
              </v:shape>
              <v:shape id="Shape 13401" o:spid="_x0000_s1028" style="position:absolute;left:50413;width:25167;height:1810;visibility:visible;mso-wrap-style:square;v-text-anchor:top" coordsize="2516631,181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" path="m,l2516631,r,181077l,181077,,e" fillcolor="#fc0" stroked="f" strokeweight="0">
                <v:stroke miterlimit="83231f" joinstyle="miter"/>
                <v:path arrowok="t" textboxrect="0,0,2516631,181077"/>
              </v:shape>
              <w10:wrap type="square" anchorx="page" anchory="page"/>
            </v:group>
          </w:pict>
        </mc:Fallback>
      </mc:AlternateContent>
    </w:r>
    <w:r>
      <w:t xml:space="preserve">SBN Quadra 02, Bloco N, 12º Andar </w:t>
    </w:r>
  </w:p>
  <w:p w14:paraId="4785B450" w14:textId="77777777" w:rsidR="00744DA5" w:rsidRDefault="00075B0C">
    <w:pPr>
      <w:spacing w:after="0" w:line="259" w:lineRule="auto"/>
      <w:ind w:left="0" w:right="4" w:firstLine="0"/>
      <w:jc w:val="right"/>
    </w:pPr>
    <w:r>
      <w:t xml:space="preserve">CEP 70040-020 – Brasília/DF </w:t>
    </w:r>
  </w:p>
  <w:p w14:paraId="6F6329F7" w14:textId="77777777" w:rsidR="00744DA5" w:rsidRDefault="00075B0C">
    <w:pPr>
      <w:spacing w:after="0" w:line="346" w:lineRule="auto"/>
      <w:ind w:left="7713" w:hanging="601"/>
    </w:pPr>
    <w:r>
      <w:t xml:space="preserve">Telefone: (61) 3312-6769 </w:t>
    </w:r>
    <w:r>
      <w:rPr>
        <w:b/>
        <w:color w:val="004C78"/>
      </w:rPr>
      <w:t xml:space="preserve">www.anm.gov.br </w:t>
    </w:r>
  </w:p>
  <w:p w14:paraId="4A4DDED1" w14:textId="77777777" w:rsidR="00744DA5" w:rsidRDefault="00075B0C">
    <w:pPr>
      <w:spacing w:after="0" w:line="259" w:lineRule="auto"/>
      <w:ind w:left="0" w:firstLine="0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C34E6" w14:textId="31F90A1D" w:rsidR="00B954C0" w:rsidRDefault="00B954C0" w:rsidP="007B4334">
    <w:pPr>
      <w:spacing w:after="0" w:line="259" w:lineRule="auto"/>
      <w:ind w:left="0" w:right="7" w:firstLine="0"/>
    </w:pPr>
    <w:bookmarkStart w:id="0" w:name="_Hlk49934983"/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1B130528" wp14:editId="43B9A1F4">
              <wp:simplePos x="0" y="0"/>
              <wp:positionH relativeFrom="page">
                <wp:posOffset>2539</wp:posOffset>
              </wp:positionH>
              <wp:positionV relativeFrom="page">
                <wp:posOffset>10453656</wp:posOffset>
              </wp:positionV>
              <wp:extent cx="7558025" cy="181077"/>
              <wp:effectExtent l="0" t="0" r="0" b="0"/>
              <wp:wrapSquare wrapText="bothSides"/>
              <wp:docPr id="12823" name="Group 1282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8025" cy="181077"/>
                        <a:chOff x="0" y="0"/>
                        <a:chExt cx="7558025" cy="181077"/>
                      </a:xfrm>
                    </wpg:grpSpPr>
                    <wps:wsp>
                      <wps:cNvPr id="13392" name="Shape 13392"/>
                      <wps:cNvSpPr/>
                      <wps:spPr>
                        <a:xfrm>
                          <a:off x="0" y="0"/>
                          <a:ext cx="5039995" cy="18107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39995" h="181077">
                              <a:moveTo>
                                <a:pt x="0" y="0"/>
                              </a:moveTo>
                              <a:lnTo>
                                <a:pt x="5039995" y="0"/>
                              </a:lnTo>
                              <a:lnTo>
                                <a:pt x="5039995" y="181077"/>
                              </a:lnTo>
                              <a:lnTo>
                                <a:pt x="0" y="18107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E7B5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93" name="Shape 13393"/>
                      <wps:cNvSpPr/>
                      <wps:spPr>
                        <a:xfrm>
                          <a:off x="5041393" y="0"/>
                          <a:ext cx="2516631" cy="18107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16631" h="181077">
                              <a:moveTo>
                                <a:pt x="0" y="0"/>
                              </a:moveTo>
                              <a:lnTo>
                                <a:pt x="2516631" y="0"/>
                              </a:lnTo>
                              <a:lnTo>
                                <a:pt x="2516631" y="181077"/>
                              </a:lnTo>
                              <a:lnTo>
                                <a:pt x="0" y="18107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CC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6A0A256A" id="Group 12823" o:spid="_x0000_s1026" style="position:absolute;margin-left:.2pt;margin-top:823.1pt;width:595.1pt;height:14.25pt;z-index:251658243;mso-position-horizontal-relative:page;mso-position-vertical-relative:page" coordsize="75580,1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">
              <v:shape id="Shape 13392" o:spid="_x0000_s1027" style="position:absolute;width:50399;height:1810;visibility:visible;mso-wrap-style:square;v-text-anchor:top" coordsize="5039995,181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" path="m,l5039995,r,181077l,181077,,e" fillcolor="#1e7b50" stroked="f" strokeweight="0">
                <v:stroke miterlimit="83231f" joinstyle="miter"/>
                <v:path arrowok="t" textboxrect="0,0,5039995,181077"/>
              </v:shape>
              <v:shape id="Shape 13393" o:spid="_x0000_s1028" style="position:absolute;left:50413;width:25167;height:1810;visibility:visible;mso-wrap-style:square;v-text-anchor:top" coordsize="2516631,181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" path="m,l2516631,r,181077l,181077,,e" fillcolor="#fc0" stroked="f" strokeweight="0">
                <v:stroke miterlimit="83231f" joinstyle="miter"/>
                <v:path arrowok="t" textboxrect="0,0,2516631,181077"/>
              </v:shape>
              <w10:wrap type="square" anchorx="page" anchory="page"/>
            </v:group>
          </w:pict>
        </mc:Fallback>
      </mc:AlternateContent>
    </w:r>
  </w:p>
  <w:bookmarkEnd w:id="0"/>
  <w:p w14:paraId="3210E449" w14:textId="77777777" w:rsidR="00B954C0" w:rsidRPr="008A1A87" w:rsidRDefault="00B954C0" w:rsidP="00B954C0">
    <w:pPr>
      <w:spacing w:after="0" w:line="240" w:lineRule="auto"/>
      <w:ind w:left="0" w:firstLine="0"/>
      <w:rPr>
        <w:sz w:val="2"/>
        <w:szCs w:val="2"/>
      </w:rPr>
    </w:pPr>
  </w:p>
  <w:p w14:paraId="4D1289E7" w14:textId="2FC56D30" w:rsidR="00B954C0" w:rsidRDefault="007B4334" w:rsidP="007B4334">
    <w:pPr>
      <w:spacing w:after="0" w:line="346" w:lineRule="auto"/>
      <w:ind w:left="6663" w:hanging="601"/>
      <w:jc w:val="right"/>
    </w:pPr>
    <w:r>
      <w:rPr>
        <w:b/>
        <w:color w:val="004C78"/>
      </w:rPr>
      <w:t xml:space="preserve">www.anm.gov.br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DA21C" w14:textId="77777777" w:rsidR="00FE51A7" w:rsidRDefault="00FE51A7">
      <w:pPr>
        <w:spacing w:after="0" w:line="240" w:lineRule="auto"/>
      </w:pPr>
      <w:r>
        <w:separator/>
      </w:r>
    </w:p>
  </w:footnote>
  <w:footnote w:type="continuationSeparator" w:id="0">
    <w:p w14:paraId="3244A300" w14:textId="77777777" w:rsidR="00FE51A7" w:rsidRDefault="00FE51A7">
      <w:pPr>
        <w:spacing w:after="0" w:line="240" w:lineRule="auto"/>
      </w:pPr>
      <w:r>
        <w:continuationSeparator/>
      </w:r>
    </w:p>
  </w:footnote>
  <w:footnote w:type="continuationNotice" w:id="1">
    <w:p w14:paraId="189F15E6" w14:textId="77777777" w:rsidR="00FE51A7" w:rsidRDefault="00FE51A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000D8" w14:textId="77777777" w:rsidR="00744DA5" w:rsidRDefault="00075B0C">
    <w:pPr>
      <w:spacing w:after="0" w:line="259" w:lineRule="auto"/>
      <w:ind w:left="-1" w:right="5735" w:firstLine="0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0" wp14:anchorId="78317CB7" wp14:editId="1D8A680D">
          <wp:simplePos x="0" y="0"/>
          <wp:positionH relativeFrom="page">
            <wp:posOffset>1080135</wp:posOffset>
          </wp:positionH>
          <wp:positionV relativeFrom="page">
            <wp:posOffset>450215</wp:posOffset>
          </wp:positionV>
          <wp:extent cx="2267585" cy="498475"/>
          <wp:effectExtent l="0" t="0" r="0" b="0"/>
          <wp:wrapSquare wrapText="bothSides"/>
          <wp:docPr id="1186198506" name="Picture 22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4" name="Picture 22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67585" cy="498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65AD2B1E" w14:textId="77777777" w:rsidR="00744DA5" w:rsidRDefault="00075B0C">
    <w:pPr>
      <w:spacing w:after="0" w:line="259" w:lineRule="auto"/>
      <w:ind w:left="0" w:firstLine="0"/>
    </w:pPr>
    <w:r>
      <w:t xml:space="preserve"> </w:t>
    </w:r>
  </w:p>
  <w:p w14:paraId="3F5C1722" w14:textId="77777777" w:rsidR="00744DA5" w:rsidRDefault="00075B0C">
    <w:pPr>
      <w:spacing w:after="0" w:line="259" w:lineRule="auto"/>
      <w:ind w:left="0" w:firstLine="0"/>
    </w:pPr>
    <w:r>
      <w:t xml:space="preserve"> </w:t>
    </w:r>
  </w:p>
  <w:p w14:paraId="4AF04925" w14:textId="77777777" w:rsidR="00744DA5" w:rsidRDefault="00075B0C">
    <w:pPr>
      <w:spacing w:after="0" w:line="259" w:lineRule="auto"/>
      <w:ind w:left="1080" w:firstLine="0"/>
    </w:pPr>
    <w:r>
      <w:rPr>
        <w:rFonts w:ascii="Arial" w:eastAsia="Arial" w:hAnsi="Arial" w:cs="Arial"/>
        <w:b/>
      </w:rPr>
      <w:t xml:space="preserve"> </w:t>
    </w:r>
    <w:r>
      <w:rPr>
        <w:rFonts w:ascii="Arial" w:eastAsia="Arial" w:hAnsi="Arial" w:cs="Arial"/>
        <w:b/>
      </w:rPr>
      <w:tab/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2FF40" w14:textId="77777777" w:rsidR="00744DA5" w:rsidRDefault="00EC19C8" w:rsidP="009F578A">
    <w:pPr>
      <w:spacing w:after="0" w:line="259" w:lineRule="auto"/>
      <w:ind w:left="0" w:right="5735" w:firstLine="0"/>
    </w:pPr>
    <w:r>
      <w:rPr>
        <w:noProof/>
      </w:rPr>
      <w:drawing>
        <wp:anchor distT="0" distB="0" distL="114300" distR="114300" simplePos="0" relativeHeight="251658244" behindDoc="1" locked="0" layoutInCell="1" allowOverlap="1" wp14:anchorId="61C68008" wp14:editId="172A8D6C">
          <wp:simplePos x="0" y="0"/>
          <wp:positionH relativeFrom="page">
            <wp:posOffset>0</wp:posOffset>
          </wp:positionH>
          <wp:positionV relativeFrom="paragraph">
            <wp:posOffset>-862965</wp:posOffset>
          </wp:positionV>
          <wp:extent cx="7547480" cy="1038759"/>
          <wp:effectExtent l="0" t="0" r="0" b="9525"/>
          <wp:wrapNone/>
          <wp:docPr id="1575796076" name="Imagem 15757960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pel_timbrad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" b="90275"/>
                  <a:stretch/>
                </pic:blipFill>
                <pic:spPr bwMode="auto">
                  <a:xfrm>
                    <a:off x="0" y="0"/>
                    <a:ext cx="7547480" cy="103875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9E2F4" w14:textId="77777777" w:rsidR="00744DA5" w:rsidRDefault="00075B0C">
    <w:pPr>
      <w:spacing w:after="0" w:line="259" w:lineRule="auto"/>
      <w:ind w:left="-1" w:right="5735" w:firstLine="0"/>
      <w:jc w:val="center"/>
    </w:pPr>
    <w:r>
      <w:rPr>
        <w:noProof/>
      </w:rPr>
      <w:drawing>
        <wp:anchor distT="0" distB="0" distL="114300" distR="114300" simplePos="0" relativeHeight="251658241" behindDoc="0" locked="0" layoutInCell="1" allowOverlap="0" wp14:anchorId="4386DFFD" wp14:editId="284BB84A">
          <wp:simplePos x="0" y="0"/>
          <wp:positionH relativeFrom="page">
            <wp:posOffset>392024</wp:posOffset>
          </wp:positionH>
          <wp:positionV relativeFrom="page">
            <wp:posOffset>333020</wp:posOffset>
          </wp:positionV>
          <wp:extent cx="2267585" cy="498475"/>
          <wp:effectExtent l="0" t="0" r="0" b="0"/>
          <wp:wrapSquare wrapText="bothSides"/>
          <wp:docPr id="1375484367" name="Picture 2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67585" cy="498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34B4AC0B" w14:textId="77777777" w:rsidR="00744DA5" w:rsidRDefault="00075B0C">
    <w:pPr>
      <w:spacing w:after="0" w:line="259" w:lineRule="auto"/>
      <w:ind w:left="0" w:firstLine="0"/>
    </w:pPr>
    <w:r>
      <w:t xml:space="preserve"> </w:t>
    </w:r>
  </w:p>
  <w:p w14:paraId="1238F026" w14:textId="77777777" w:rsidR="00744DA5" w:rsidRDefault="00075B0C">
    <w:pPr>
      <w:spacing w:after="0" w:line="259" w:lineRule="auto"/>
      <w:ind w:left="0" w:firstLine="0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44A9"/>
    <w:multiLevelType w:val="multilevel"/>
    <w:tmpl w:val="72C8E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6505E7"/>
    <w:multiLevelType w:val="multilevel"/>
    <w:tmpl w:val="4CE2C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4349DB"/>
    <w:multiLevelType w:val="hybridMultilevel"/>
    <w:tmpl w:val="828254C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D0FB1"/>
    <w:multiLevelType w:val="hybridMultilevel"/>
    <w:tmpl w:val="828254C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3369D"/>
    <w:multiLevelType w:val="hybridMultilevel"/>
    <w:tmpl w:val="93468800"/>
    <w:lvl w:ilvl="0" w:tplc="14685AF2">
      <w:start w:val="1"/>
      <w:numFmt w:val="lowerLetter"/>
      <w:lvlText w:val="%1)"/>
      <w:lvlJc w:val="left"/>
      <w:pPr>
        <w:ind w:left="120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21" w:hanging="360"/>
      </w:pPr>
    </w:lvl>
    <w:lvl w:ilvl="2" w:tplc="0416001B" w:tentative="1">
      <w:start w:val="1"/>
      <w:numFmt w:val="lowerRoman"/>
      <w:lvlText w:val="%3."/>
      <w:lvlJc w:val="right"/>
      <w:pPr>
        <w:ind w:left="2641" w:hanging="180"/>
      </w:pPr>
    </w:lvl>
    <w:lvl w:ilvl="3" w:tplc="0416000F" w:tentative="1">
      <w:start w:val="1"/>
      <w:numFmt w:val="decimal"/>
      <w:lvlText w:val="%4."/>
      <w:lvlJc w:val="left"/>
      <w:pPr>
        <w:ind w:left="3361" w:hanging="360"/>
      </w:pPr>
    </w:lvl>
    <w:lvl w:ilvl="4" w:tplc="04160019" w:tentative="1">
      <w:start w:val="1"/>
      <w:numFmt w:val="lowerLetter"/>
      <w:lvlText w:val="%5."/>
      <w:lvlJc w:val="left"/>
      <w:pPr>
        <w:ind w:left="4081" w:hanging="360"/>
      </w:pPr>
    </w:lvl>
    <w:lvl w:ilvl="5" w:tplc="0416001B" w:tentative="1">
      <w:start w:val="1"/>
      <w:numFmt w:val="lowerRoman"/>
      <w:lvlText w:val="%6."/>
      <w:lvlJc w:val="right"/>
      <w:pPr>
        <w:ind w:left="4801" w:hanging="180"/>
      </w:pPr>
    </w:lvl>
    <w:lvl w:ilvl="6" w:tplc="0416000F" w:tentative="1">
      <w:start w:val="1"/>
      <w:numFmt w:val="decimal"/>
      <w:lvlText w:val="%7."/>
      <w:lvlJc w:val="left"/>
      <w:pPr>
        <w:ind w:left="5521" w:hanging="360"/>
      </w:pPr>
    </w:lvl>
    <w:lvl w:ilvl="7" w:tplc="04160019" w:tentative="1">
      <w:start w:val="1"/>
      <w:numFmt w:val="lowerLetter"/>
      <w:lvlText w:val="%8."/>
      <w:lvlJc w:val="left"/>
      <w:pPr>
        <w:ind w:left="6241" w:hanging="360"/>
      </w:pPr>
    </w:lvl>
    <w:lvl w:ilvl="8" w:tplc="0416001B" w:tentative="1">
      <w:start w:val="1"/>
      <w:numFmt w:val="lowerRoman"/>
      <w:lvlText w:val="%9."/>
      <w:lvlJc w:val="right"/>
      <w:pPr>
        <w:ind w:left="6961" w:hanging="180"/>
      </w:pPr>
    </w:lvl>
  </w:abstractNum>
  <w:abstractNum w:abstractNumId="5" w15:restartNumberingAfterBreak="0">
    <w:nsid w:val="160E3BB9"/>
    <w:multiLevelType w:val="hybridMultilevel"/>
    <w:tmpl w:val="828254C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414F4"/>
    <w:multiLevelType w:val="hybridMultilevel"/>
    <w:tmpl w:val="102A857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0820C8"/>
    <w:multiLevelType w:val="multilevel"/>
    <w:tmpl w:val="435477DA"/>
    <w:lvl w:ilvl="0">
      <w:start w:val="1"/>
      <w:numFmt w:val="decimal"/>
      <w:lvlText w:val="%1."/>
      <w:lvlJc w:val="left"/>
      <w:pPr>
        <w:ind w:left="430" w:hanging="360"/>
      </w:pPr>
      <w:rPr>
        <w:rFonts w:hint="default"/>
        <w:b/>
        <w:bCs/>
        <w:color w:val="auto"/>
        <w:sz w:val="22"/>
        <w:u w:val="no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90" w:hanging="180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03C266F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"/>
      <w:lvlJc w:val="left"/>
      <w:pPr>
        <w:ind w:left="1638" w:hanging="504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5724ACD"/>
    <w:multiLevelType w:val="hybridMultilevel"/>
    <w:tmpl w:val="1E68CE42"/>
    <w:lvl w:ilvl="0" w:tplc="B74A26CE">
      <w:start w:val="1"/>
      <w:numFmt w:val="decimal"/>
      <w:lvlText w:val="%1."/>
      <w:lvlJc w:val="left"/>
      <w:pPr>
        <w:ind w:left="10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8" w:hanging="360"/>
      </w:pPr>
    </w:lvl>
    <w:lvl w:ilvl="2" w:tplc="0416001B" w:tentative="1">
      <w:start w:val="1"/>
      <w:numFmt w:val="lowerRoman"/>
      <w:lvlText w:val="%3."/>
      <w:lvlJc w:val="right"/>
      <w:pPr>
        <w:ind w:left="2518" w:hanging="180"/>
      </w:pPr>
    </w:lvl>
    <w:lvl w:ilvl="3" w:tplc="0416000F" w:tentative="1">
      <w:start w:val="1"/>
      <w:numFmt w:val="decimal"/>
      <w:lvlText w:val="%4."/>
      <w:lvlJc w:val="left"/>
      <w:pPr>
        <w:ind w:left="3238" w:hanging="360"/>
      </w:pPr>
    </w:lvl>
    <w:lvl w:ilvl="4" w:tplc="04160019" w:tentative="1">
      <w:start w:val="1"/>
      <w:numFmt w:val="lowerLetter"/>
      <w:lvlText w:val="%5."/>
      <w:lvlJc w:val="left"/>
      <w:pPr>
        <w:ind w:left="3958" w:hanging="360"/>
      </w:pPr>
    </w:lvl>
    <w:lvl w:ilvl="5" w:tplc="0416001B" w:tentative="1">
      <w:start w:val="1"/>
      <w:numFmt w:val="lowerRoman"/>
      <w:lvlText w:val="%6."/>
      <w:lvlJc w:val="right"/>
      <w:pPr>
        <w:ind w:left="4678" w:hanging="180"/>
      </w:pPr>
    </w:lvl>
    <w:lvl w:ilvl="6" w:tplc="0416000F" w:tentative="1">
      <w:start w:val="1"/>
      <w:numFmt w:val="decimal"/>
      <w:lvlText w:val="%7."/>
      <w:lvlJc w:val="left"/>
      <w:pPr>
        <w:ind w:left="5398" w:hanging="360"/>
      </w:pPr>
    </w:lvl>
    <w:lvl w:ilvl="7" w:tplc="04160019" w:tentative="1">
      <w:start w:val="1"/>
      <w:numFmt w:val="lowerLetter"/>
      <w:lvlText w:val="%8."/>
      <w:lvlJc w:val="left"/>
      <w:pPr>
        <w:ind w:left="6118" w:hanging="360"/>
      </w:pPr>
    </w:lvl>
    <w:lvl w:ilvl="8" w:tplc="0416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10" w15:restartNumberingAfterBreak="0">
    <w:nsid w:val="2C305A62"/>
    <w:multiLevelType w:val="multilevel"/>
    <w:tmpl w:val="643A7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0C3041"/>
    <w:multiLevelType w:val="multilevel"/>
    <w:tmpl w:val="C5143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8A4FB1"/>
    <w:multiLevelType w:val="multilevel"/>
    <w:tmpl w:val="05423718"/>
    <w:lvl w:ilvl="0">
      <w:start w:val="1"/>
      <w:numFmt w:val="decimal"/>
      <w:lvlText w:val="%1."/>
      <w:lvlJc w:val="left"/>
      <w:pPr>
        <w:ind w:left="425"/>
      </w:pPr>
      <w:rPr>
        <w:rFonts w:ascii="Open Sans" w:eastAsia="Open Sans" w:hAnsi="Open Sans" w:cs="Open Sans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56"/>
      </w:pPr>
      <w:rPr>
        <w:rFonts w:ascii="Open Sans" w:eastAsia="Open Sans" w:hAnsi="Open Sans" w:cs="Open Sans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341"/>
      </w:pPr>
      <w:rPr>
        <w:rFonts w:ascii="Open Sans" w:eastAsia="Open Sans" w:hAnsi="Open Sans" w:cs="Open Sans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479"/>
      </w:pPr>
      <w:rPr>
        <w:rFonts w:ascii="Open Sans" w:eastAsia="Open Sans" w:hAnsi="Open Sans" w:cs="Open Sans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99"/>
      </w:pPr>
      <w:rPr>
        <w:rFonts w:ascii="Open Sans" w:eastAsia="Open Sans" w:hAnsi="Open Sans" w:cs="Open Sans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919"/>
      </w:pPr>
      <w:rPr>
        <w:rFonts w:ascii="Open Sans" w:eastAsia="Open Sans" w:hAnsi="Open Sans" w:cs="Open Sans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39"/>
      </w:pPr>
      <w:rPr>
        <w:rFonts w:ascii="Open Sans" w:eastAsia="Open Sans" w:hAnsi="Open Sans" w:cs="Open Sans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59"/>
      </w:pPr>
      <w:rPr>
        <w:rFonts w:ascii="Open Sans" w:eastAsia="Open Sans" w:hAnsi="Open Sans" w:cs="Open Sans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079"/>
      </w:pPr>
      <w:rPr>
        <w:rFonts w:ascii="Open Sans" w:eastAsia="Open Sans" w:hAnsi="Open Sans" w:cs="Open Sans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DF35E47"/>
    <w:multiLevelType w:val="hybridMultilevel"/>
    <w:tmpl w:val="189C57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6B5FF6"/>
    <w:multiLevelType w:val="multilevel"/>
    <w:tmpl w:val="41FE3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AFD0730"/>
    <w:multiLevelType w:val="multilevel"/>
    <w:tmpl w:val="EDEE6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0300A0"/>
    <w:multiLevelType w:val="hybridMultilevel"/>
    <w:tmpl w:val="5FFCD8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E4C4D"/>
    <w:multiLevelType w:val="multilevel"/>
    <w:tmpl w:val="C9DEE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0624F65"/>
    <w:multiLevelType w:val="hybridMultilevel"/>
    <w:tmpl w:val="B1906504"/>
    <w:lvl w:ilvl="0" w:tplc="FFFFFFFF">
      <w:start w:val="1"/>
      <w:numFmt w:val="lowerRoman"/>
      <w:lvlText w:val="%1"/>
      <w:lvlJc w:val="left"/>
      <w:pPr>
        <w:ind w:left="128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4F31546"/>
    <w:multiLevelType w:val="multilevel"/>
    <w:tmpl w:val="A6D83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2F91B0D"/>
    <w:multiLevelType w:val="hybridMultilevel"/>
    <w:tmpl w:val="E8BC0CC4"/>
    <w:lvl w:ilvl="0" w:tplc="5F82569E">
      <w:start w:val="1"/>
      <w:numFmt w:val="decimal"/>
      <w:lvlText w:val="%1."/>
      <w:lvlJc w:val="left"/>
      <w:pPr>
        <w:ind w:left="430" w:hanging="360"/>
      </w:pPr>
      <w:rPr>
        <w:b/>
        <w:bCs/>
        <w:strike w:val="0"/>
        <w:dstrike w:val="0"/>
        <w:color w:val="auto"/>
        <w:sz w:val="22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ind w:left="1150" w:hanging="360"/>
      </w:pPr>
    </w:lvl>
    <w:lvl w:ilvl="2" w:tplc="FFFFFFFF">
      <w:start w:val="1"/>
      <w:numFmt w:val="lowerRoman"/>
      <w:lvlText w:val="%3."/>
      <w:lvlJc w:val="right"/>
      <w:pPr>
        <w:ind w:left="1870" w:hanging="180"/>
      </w:pPr>
    </w:lvl>
    <w:lvl w:ilvl="3" w:tplc="FFFFFFFF">
      <w:start w:val="1"/>
      <w:numFmt w:val="decimal"/>
      <w:lvlText w:val="%4."/>
      <w:lvlJc w:val="left"/>
      <w:pPr>
        <w:ind w:left="2590" w:hanging="360"/>
      </w:pPr>
    </w:lvl>
    <w:lvl w:ilvl="4" w:tplc="FFFFFFFF">
      <w:start w:val="1"/>
      <w:numFmt w:val="lowerLetter"/>
      <w:lvlText w:val="%5."/>
      <w:lvlJc w:val="left"/>
      <w:pPr>
        <w:ind w:left="3310" w:hanging="360"/>
      </w:pPr>
    </w:lvl>
    <w:lvl w:ilvl="5" w:tplc="FFFFFFFF">
      <w:start w:val="1"/>
      <w:numFmt w:val="lowerRoman"/>
      <w:lvlText w:val="%6."/>
      <w:lvlJc w:val="right"/>
      <w:pPr>
        <w:ind w:left="4030" w:hanging="180"/>
      </w:pPr>
    </w:lvl>
    <w:lvl w:ilvl="6" w:tplc="FFFFFFFF">
      <w:start w:val="1"/>
      <w:numFmt w:val="decimal"/>
      <w:lvlText w:val="%7."/>
      <w:lvlJc w:val="left"/>
      <w:pPr>
        <w:ind w:left="4750" w:hanging="360"/>
      </w:pPr>
    </w:lvl>
    <w:lvl w:ilvl="7" w:tplc="FFFFFFFF">
      <w:start w:val="1"/>
      <w:numFmt w:val="lowerLetter"/>
      <w:lvlText w:val="%8."/>
      <w:lvlJc w:val="left"/>
      <w:pPr>
        <w:ind w:left="5470" w:hanging="360"/>
      </w:pPr>
    </w:lvl>
    <w:lvl w:ilvl="8" w:tplc="FFFFFFFF">
      <w:start w:val="1"/>
      <w:numFmt w:val="lowerRoman"/>
      <w:lvlText w:val="%9."/>
      <w:lvlJc w:val="right"/>
      <w:pPr>
        <w:ind w:left="6190" w:hanging="180"/>
      </w:pPr>
    </w:lvl>
  </w:abstractNum>
  <w:abstractNum w:abstractNumId="21" w15:restartNumberingAfterBreak="0">
    <w:nsid w:val="76D75DAC"/>
    <w:multiLevelType w:val="multilevel"/>
    <w:tmpl w:val="293C4DA0"/>
    <w:lvl w:ilvl="0">
      <w:start w:val="1"/>
      <w:numFmt w:val="upperRoman"/>
      <w:lvlText w:val="%1."/>
      <w:lvlJc w:val="right"/>
      <w:pPr>
        <w:ind w:left="790" w:hanging="360"/>
      </w:pPr>
    </w:lvl>
    <w:lvl w:ilvl="1">
      <w:start w:val="4"/>
      <w:numFmt w:val="decimal"/>
      <w:isLgl/>
      <w:lvlText w:val="%1.%2."/>
      <w:lvlJc w:val="left"/>
      <w:pPr>
        <w:ind w:left="83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0" w:hanging="1800"/>
      </w:pPr>
      <w:rPr>
        <w:rFonts w:hint="default"/>
      </w:rPr>
    </w:lvl>
  </w:abstractNum>
  <w:abstractNum w:abstractNumId="22" w15:restartNumberingAfterBreak="0">
    <w:nsid w:val="77584FE9"/>
    <w:multiLevelType w:val="multilevel"/>
    <w:tmpl w:val="D3C00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C4C4E3F"/>
    <w:multiLevelType w:val="hybridMultilevel"/>
    <w:tmpl w:val="1372648C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3402D8"/>
    <w:multiLevelType w:val="hybridMultilevel"/>
    <w:tmpl w:val="B1906504"/>
    <w:lvl w:ilvl="0" w:tplc="77E07296">
      <w:start w:val="1"/>
      <w:numFmt w:val="lowerRoman"/>
      <w:lvlText w:val="%1"/>
      <w:lvlJc w:val="left"/>
      <w:pPr>
        <w:ind w:left="128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60019">
      <w:start w:val="1"/>
      <w:numFmt w:val="lowerLetter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>
      <w:start w:val="1"/>
      <w:numFmt w:val="lowerLetter"/>
      <w:lvlText w:val="%5."/>
      <w:lvlJc w:val="left"/>
      <w:pPr>
        <w:ind w:left="4167" w:hanging="360"/>
      </w:pPr>
    </w:lvl>
    <w:lvl w:ilvl="5" w:tplc="0416001B">
      <w:start w:val="1"/>
      <w:numFmt w:val="lowerRoman"/>
      <w:lvlText w:val="%6."/>
      <w:lvlJc w:val="right"/>
      <w:pPr>
        <w:ind w:left="4887" w:hanging="180"/>
      </w:pPr>
    </w:lvl>
    <w:lvl w:ilvl="6" w:tplc="0416000F">
      <w:start w:val="1"/>
      <w:numFmt w:val="decimal"/>
      <w:lvlText w:val="%7."/>
      <w:lvlJc w:val="left"/>
      <w:pPr>
        <w:ind w:left="5607" w:hanging="360"/>
      </w:pPr>
    </w:lvl>
    <w:lvl w:ilvl="7" w:tplc="04160019">
      <w:start w:val="1"/>
      <w:numFmt w:val="lowerLetter"/>
      <w:lvlText w:val="%8."/>
      <w:lvlJc w:val="left"/>
      <w:pPr>
        <w:ind w:left="6327" w:hanging="360"/>
      </w:pPr>
    </w:lvl>
    <w:lvl w:ilvl="8" w:tplc="0416001B">
      <w:start w:val="1"/>
      <w:numFmt w:val="lowerRoman"/>
      <w:lvlText w:val="%9."/>
      <w:lvlJc w:val="right"/>
      <w:pPr>
        <w:ind w:left="7047" w:hanging="180"/>
      </w:pPr>
    </w:lvl>
  </w:abstractNum>
  <w:num w:numId="1" w16cid:durableId="2147357255">
    <w:abstractNumId w:val="12"/>
  </w:num>
  <w:num w:numId="2" w16cid:durableId="139631635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96626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214078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27268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3157945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7436390">
    <w:abstractNumId w:val="2"/>
  </w:num>
  <w:num w:numId="8" w16cid:durableId="113135975">
    <w:abstractNumId w:val="23"/>
  </w:num>
  <w:num w:numId="9" w16cid:durableId="64219498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875974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36222021">
    <w:abstractNumId w:val="4"/>
  </w:num>
  <w:num w:numId="12" w16cid:durableId="5963839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45804443">
    <w:abstractNumId w:val="21"/>
  </w:num>
  <w:num w:numId="14" w16cid:durableId="1719889003">
    <w:abstractNumId w:val="6"/>
  </w:num>
  <w:num w:numId="15" w16cid:durableId="1003364409">
    <w:abstractNumId w:val="10"/>
  </w:num>
  <w:num w:numId="16" w16cid:durableId="1756583511">
    <w:abstractNumId w:val="22"/>
  </w:num>
  <w:num w:numId="17" w16cid:durableId="156506171">
    <w:abstractNumId w:val="17"/>
  </w:num>
  <w:num w:numId="18" w16cid:durableId="1923487314">
    <w:abstractNumId w:val="15"/>
  </w:num>
  <w:num w:numId="19" w16cid:durableId="1470244784">
    <w:abstractNumId w:val="16"/>
  </w:num>
  <w:num w:numId="20" w16cid:durableId="2020234413">
    <w:abstractNumId w:val="14"/>
  </w:num>
  <w:num w:numId="21" w16cid:durableId="1559828177">
    <w:abstractNumId w:val="19"/>
  </w:num>
  <w:num w:numId="22" w16cid:durableId="2081558225">
    <w:abstractNumId w:val="11"/>
  </w:num>
  <w:num w:numId="23" w16cid:durableId="460268393">
    <w:abstractNumId w:val="0"/>
  </w:num>
  <w:num w:numId="24" w16cid:durableId="958727709">
    <w:abstractNumId w:val="1"/>
  </w:num>
  <w:num w:numId="25" w16cid:durableId="218564558">
    <w:abstractNumId w:val="9"/>
  </w:num>
  <w:num w:numId="26" w16cid:durableId="10331942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DA5"/>
    <w:rsid w:val="0000526E"/>
    <w:rsid w:val="00006276"/>
    <w:rsid w:val="00006B92"/>
    <w:rsid w:val="00015ED1"/>
    <w:rsid w:val="0001735B"/>
    <w:rsid w:val="000174A2"/>
    <w:rsid w:val="00037D6B"/>
    <w:rsid w:val="00043868"/>
    <w:rsid w:val="00054564"/>
    <w:rsid w:val="00056AD0"/>
    <w:rsid w:val="000660FF"/>
    <w:rsid w:val="00067AB2"/>
    <w:rsid w:val="00075B0C"/>
    <w:rsid w:val="00081B9E"/>
    <w:rsid w:val="000A0056"/>
    <w:rsid w:val="000A0377"/>
    <w:rsid w:val="000A0A93"/>
    <w:rsid w:val="000A1F58"/>
    <w:rsid w:val="000B54AC"/>
    <w:rsid w:val="000B608D"/>
    <w:rsid w:val="000D25E3"/>
    <w:rsid w:val="00166E2A"/>
    <w:rsid w:val="001936CC"/>
    <w:rsid w:val="001B0762"/>
    <w:rsid w:val="001B2684"/>
    <w:rsid w:val="001B75C0"/>
    <w:rsid w:val="001D140F"/>
    <w:rsid w:val="001D1E2C"/>
    <w:rsid w:val="001E3C12"/>
    <w:rsid w:val="001E40ED"/>
    <w:rsid w:val="001F06C4"/>
    <w:rsid w:val="001F5EEB"/>
    <w:rsid w:val="0020065B"/>
    <w:rsid w:val="00200D59"/>
    <w:rsid w:val="00201EDB"/>
    <w:rsid w:val="0020236C"/>
    <w:rsid w:val="0021025A"/>
    <w:rsid w:val="0023147A"/>
    <w:rsid w:val="0023332C"/>
    <w:rsid w:val="00235CEB"/>
    <w:rsid w:val="00253697"/>
    <w:rsid w:val="002612ED"/>
    <w:rsid w:val="00261DE8"/>
    <w:rsid w:val="00287823"/>
    <w:rsid w:val="002957CF"/>
    <w:rsid w:val="002A674A"/>
    <w:rsid w:val="002B3E8F"/>
    <w:rsid w:val="002D5AA4"/>
    <w:rsid w:val="002D6EF1"/>
    <w:rsid w:val="002D7A8B"/>
    <w:rsid w:val="002E5874"/>
    <w:rsid w:val="002F3FBA"/>
    <w:rsid w:val="003005AE"/>
    <w:rsid w:val="00355218"/>
    <w:rsid w:val="003644C3"/>
    <w:rsid w:val="0036464E"/>
    <w:rsid w:val="00364FCC"/>
    <w:rsid w:val="00370020"/>
    <w:rsid w:val="00371550"/>
    <w:rsid w:val="00371B99"/>
    <w:rsid w:val="00376D09"/>
    <w:rsid w:val="003B3838"/>
    <w:rsid w:val="003B7405"/>
    <w:rsid w:val="003C06B3"/>
    <w:rsid w:val="003C2F74"/>
    <w:rsid w:val="003D62BC"/>
    <w:rsid w:val="003E37DB"/>
    <w:rsid w:val="003E6C94"/>
    <w:rsid w:val="004003B7"/>
    <w:rsid w:val="00415A65"/>
    <w:rsid w:val="00442B0E"/>
    <w:rsid w:val="004449CC"/>
    <w:rsid w:val="00461879"/>
    <w:rsid w:val="004801E5"/>
    <w:rsid w:val="004827FA"/>
    <w:rsid w:val="004E009A"/>
    <w:rsid w:val="004E304D"/>
    <w:rsid w:val="004E795C"/>
    <w:rsid w:val="00537DC7"/>
    <w:rsid w:val="00540128"/>
    <w:rsid w:val="00546195"/>
    <w:rsid w:val="00557E01"/>
    <w:rsid w:val="00574EE2"/>
    <w:rsid w:val="00576C9E"/>
    <w:rsid w:val="005A4275"/>
    <w:rsid w:val="005B412F"/>
    <w:rsid w:val="005C16DB"/>
    <w:rsid w:val="005D1CF8"/>
    <w:rsid w:val="005D4BC8"/>
    <w:rsid w:val="005D4CDB"/>
    <w:rsid w:val="00610AB9"/>
    <w:rsid w:val="00653157"/>
    <w:rsid w:val="00667F93"/>
    <w:rsid w:val="006829EB"/>
    <w:rsid w:val="00683E8D"/>
    <w:rsid w:val="006A3422"/>
    <w:rsid w:val="006B2A1F"/>
    <w:rsid w:val="006B4BB2"/>
    <w:rsid w:val="006B4E33"/>
    <w:rsid w:val="006B7608"/>
    <w:rsid w:val="006D71C0"/>
    <w:rsid w:val="006E0C02"/>
    <w:rsid w:val="00700AD0"/>
    <w:rsid w:val="00727EB9"/>
    <w:rsid w:val="007303AE"/>
    <w:rsid w:val="007323D6"/>
    <w:rsid w:val="00744DA5"/>
    <w:rsid w:val="0076352C"/>
    <w:rsid w:val="00763759"/>
    <w:rsid w:val="007649CC"/>
    <w:rsid w:val="00782154"/>
    <w:rsid w:val="00786FFE"/>
    <w:rsid w:val="00790796"/>
    <w:rsid w:val="00796D0A"/>
    <w:rsid w:val="007A2875"/>
    <w:rsid w:val="007A3EA8"/>
    <w:rsid w:val="007B4334"/>
    <w:rsid w:val="007B45EA"/>
    <w:rsid w:val="007B71BA"/>
    <w:rsid w:val="007C02D6"/>
    <w:rsid w:val="007C3651"/>
    <w:rsid w:val="007D0206"/>
    <w:rsid w:val="007D2256"/>
    <w:rsid w:val="007E5521"/>
    <w:rsid w:val="00802CE7"/>
    <w:rsid w:val="0081463A"/>
    <w:rsid w:val="0083294C"/>
    <w:rsid w:val="00850B2B"/>
    <w:rsid w:val="00851728"/>
    <w:rsid w:val="00851EBF"/>
    <w:rsid w:val="00871859"/>
    <w:rsid w:val="00893B49"/>
    <w:rsid w:val="008A1A87"/>
    <w:rsid w:val="008A7774"/>
    <w:rsid w:val="008C0C55"/>
    <w:rsid w:val="008D6104"/>
    <w:rsid w:val="008E1172"/>
    <w:rsid w:val="009105E8"/>
    <w:rsid w:val="00920631"/>
    <w:rsid w:val="009529A1"/>
    <w:rsid w:val="00955511"/>
    <w:rsid w:val="00982D2C"/>
    <w:rsid w:val="0098685B"/>
    <w:rsid w:val="009961FC"/>
    <w:rsid w:val="009A062F"/>
    <w:rsid w:val="009A7994"/>
    <w:rsid w:val="009C0420"/>
    <w:rsid w:val="009C2875"/>
    <w:rsid w:val="009D197F"/>
    <w:rsid w:val="009F578A"/>
    <w:rsid w:val="00A64128"/>
    <w:rsid w:val="00A83DC6"/>
    <w:rsid w:val="00A90EB1"/>
    <w:rsid w:val="00A93F6C"/>
    <w:rsid w:val="00A94A3B"/>
    <w:rsid w:val="00AB5501"/>
    <w:rsid w:val="00AB6BA5"/>
    <w:rsid w:val="00AD03B4"/>
    <w:rsid w:val="00AD3B08"/>
    <w:rsid w:val="00AE3163"/>
    <w:rsid w:val="00AE41F2"/>
    <w:rsid w:val="00AF37BE"/>
    <w:rsid w:val="00B00DDD"/>
    <w:rsid w:val="00B23FC3"/>
    <w:rsid w:val="00B26039"/>
    <w:rsid w:val="00B26749"/>
    <w:rsid w:val="00B278DB"/>
    <w:rsid w:val="00B34F61"/>
    <w:rsid w:val="00B50B40"/>
    <w:rsid w:val="00B54C09"/>
    <w:rsid w:val="00B82592"/>
    <w:rsid w:val="00B8310B"/>
    <w:rsid w:val="00B86640"/>
    <w:rsid w:val="00B9047C"/>
    <w:rsid w:val="00B91504"/>
    <w:rsid w:val="00B954C0"/>
    <w:rsid w:val="00BA09C2"/>
    <w:rsid w:val="00BA481E"/>
    <w:rsid w:val="00BB53BA"/>
    <w:rsid w:val="00BC65AD"/>
    <w:rsid w:val="00BD1F4E"/>
    <w:rsid w:val="00BD49AD"/>
    <w:rsid w:val="00BE4676"/>
    <w:rsid w:val="00BF60F4"/>
    <w:rsid w:val="00C07373"/>
    <w:rsid w:val="00C132F0"/>
    <w:rsid w:val="00C14660"/>
    <w:rsid w:val="00C325C4"/>
    <w:rsid w:val="00C33EF4"/>
    <w:rsid w:val="00C35EB8"/>
    <w:rsid w:val="00C37C4A"/>
    <w:rsid w:val="00C552A1"/>
    <w:rsid w:val="00C71FCC"/>
    <w:rsid w:val="00C91F3A"/>
    <w:rsid w:val="00CA50E2"/>
    <w:rsid w:val="00CC0B57"/>
    <w:rsid w:val="00CC3A7E"/>
    <w:rsid w:val="00CC4E42"/>
    <w:rsid w:val="00CE769E"/>
    <w:rsid w:val="00CF6293"/>
    <w:rsid w:val="00D133E6"/>
    <w:rsid w:val="00D15690"/>
    <w:rsid w:val="00D16C0A"/>
    <w:rsid w:val="00D267C7"/>
    <w:rsid w:val="00D30561"/>
    <w:rsid w:val="00D44A20"/>
    <w:rsid w:val="00D51755"/>
    <w:rsid w:val="00D52BF2"/>
    <w:rsid w:val="00D8268C"/>
    <w:rsid w:val="00D84229"/>
    <w:rsid w:val="00D84B1A"/>
    <w:rsid w:val="00D95A86"/>
    <w:rsid w:val="00DA3EBF"/>
    <w:rsid w:val="00DA59B2"/>
    <w:rsid w:val="00DB4A65"/>
    <w:rsid w:val="00DB7C12"/>
    <w:rsid w:val="00DC16DC"/>
    <w:rsid w:val="00DD2B39"/>
    <w:rsid w:val="00DE78C0"/>
    <w:rsid w:val="00E005B7"/>
    <w:rsid w:val="00E62AA7"/>
    <w:rsid w:val="00EB5A95"/>
    <w:rsid w:val="00EC19C8"/>
    <w:rsid w:val="00EC485F"/>
    <w:rsid w:val="00EC7FD6"/>
    <w:rsid w:val="00EE0852"/>
    <w:rsid w:val="00EE7BB0"/>
    <w:rsid w:val="00EF4878"/>
    <w:rsid w:val="00EF6DE9"/>
    <w:rsid w:val="00F276BC"/>
    <w:rsid w:val="00F5391D"/>
    <w:rsid w:val="00F82B39"/>
    <w:rsid w:val="00F855CC"/>
    <w:rsid w:val="00FA2418"/>
    <w:rsid w:val="00FB2B88"/>
    <w:rsid w:val="00FC6EE8"/>
    <w:rsid w:val="00FE0875"/>
    <w:rsid w:val="00FE39FE"/>
    <w:rsid w:val="00FE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3984BA"/>
  <w15:docId w15:val="{804180EC-868E-4916-A260-773DE6028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1DE8"/>
    <w:pPr>
      <w:spacing w:after="4" w:line="250" w:lineRule="auto"/>
      <w:ind w:left="10" w:hanging="10"/>
    </w:pPr>
    <w:rPr>
      <w:rFonts w:ascii="Open Sans" w:eastAsia="Open Sans" w:hAnsi="Open Sans" w:cs="Open Sans"/>
      <w:color w:val="000000"/>
      <w:sz w:val="20"/>
    </w:rPr>
  </w:style>
  <w:style w:type="paragraph" w:styleId="Ttulo1">
    <w:name w:val="heading 1"/>
    <w:basedOn w:val="Normal"/>
    <w:next w:val="Normal"/>
    <w:link w:val="Ttulo1Char"/>
    <w:qFormat/>
    <w:rsid w:val="00AF37BE"/>
    <w:pPr>
      <w:keepNext/>
      <w:spacing w:after="0" w:line="240" w:lineRule="auto"/>
      <w:ind w:left="0" w:firstLine="0"/>
      <w:jc w:val="both"/>
      <w:outlineLvl w:val="0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260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B954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954C0"/>
    <w:rPr>
      <w:rFonts w:ascii="Open Sans" w:eastAsia="Open Sans" w:hAnsi="Open Sans" w:cs="Open Sans"/>
      <w:color w:val="000000"/>
      <w:sz w:val="20"/>
    </w:rPr>
  </w:style>
  <w:style w:type="table" w:customStyle="1" w:styleId="TableGrid">
    <w:name w:val="TableGrid"/>
    <w:rsid w:val="00DA59B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unhideWhenUsed/>
    <w:rsid w:val="00BA481E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PargrafodaLista">
    <w:name w:val="List Paragraph"/>
    <w:basedOn w:val="Normal"/>
    <w:uiPriority w:val="34"/>
    <w:qFormat/>
    <w:rsid w:val="00C14660"/>
    <w:pPr>
      <w:spacing w:after="160" w:line="256" w:lineRule="auto"/>
      <w:ind w:left="720" w:firstLine="0"/>
      <w:contextualSpacing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styleId="Hyperlink">
    <w:name w:val="Hyperlink"/>
    <w:basedOn w:val="Fontepargpadro"/>
    <w:uiPriority w:val="99"/>
    <w:unhideWhenUsed/>
    <w:rsid w:val="00C14660"/>
    <w:rPr>
      <w:color w:val="0563C1" w:themeColor="hyperlink"/>
      <w:u w:val="single"/>
    </w:rPr>
  </w:style>
  <w:style w:type="character" w:customStyle="1" w:styleId="normaltextrun">
    <w:name w:val="normaltextrun"/>
    <w:basedOn w:val="Fontepargpadro"/>
    <w:rsid w:val="00C14660"/>
  </w:style>
  <w:style w:type="paragraph" w:customStyle="1" w:styleId="Default">
    <w:name w:val="Default"/>
    <w:rsid w:val="00796D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xtocentralizado">
    <w:name w:val="texto_centralizado"/>
    <w:basedOn w:val="Normal"/>
    <w:rsid w:val="00A83DC6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Forte">
    <w:name w:val="Strong"/>
    <w:basedOn w:val="Fontepargpadro"/>
    <w:uiPriority w:val="22"/>
    <w:qFormat/>
    <w:rsid w:val="00A83DC6"/>
    <w:rPr>
      <w:b/>
      <w:bCs/>
    </w:rPr>
  </w:style>
  <w:style w:type="character" w:customStyle="1" w:styleId="Ttulo1Char">
    <w:name w:val="Título 1 Char"/>
    <w:basedOn w:val="Fontepargpadro"/>
    <w:link w:val="Ttulo1"/>
    <w:rsid w:val="00AF37BE"/>
    <w:rPr>
      <w:rFonts w:ascii="Times New Roman" w:eastAsia="Times New Roman" w:hAnsi="Times New Roman" w:cs="Times New Roman"/>
      <w:sz w:val="28"/>
      <w:szCs w:val="20"/>
    </w:rPr>
  </w:style>
  <w:style w:type="character" w:styleId="nfase">
    <w:name w:val="Emphasis"/>
    <w:basedOn w:val="Fontepargpadro"/>
    <w:uiPriority w:val="20"/>
    <w:qFormat/>
    <w:rsid w:val="00B91504"/>
    <w:rPr>
      <w:i/>
      <w:iCs/>
    </w:rPr>
  </w:style>
  <w:style w:type="character" w:customStyle="1" w:styleId="ui-provider">
    <w:name w:val="ui-provider"/>
    <w:basedOn w:val="Fontepargpadro"/>
    <w:rsid w:val="00683E8D"/>
  </w:style>
  <w:style w:type="paragraph" w:styleId="Cabealho">
    <w:name w:val="header"/>
    <w:basedOn w:val="Normal"/>
    <w:link w:val="CabealhoChar"/>
    <w:uiPriority w:val="99"/>
    <w:semiHidden/>
    <w:unhideWhenUsed/>
    <w:rsid w:val="000B608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B608D"/>
    <w:rPr>
      <w:rFonts w:ascii="Open Sans" w:eastAsia="Open Sans" w:hAnsi="Open Sans" w:cs="Open Sans"/>
      <w:color w:val="000000"/>
      <w:sz w:val="20"/>
    </w:rPr>
  </w:style>
  <w:style w:type="paragraph" w:customStyle="1" w:styleId="Nivel01">
    <w:name w:val="Nivel 01"/>
    <w:basedOn w:val="Ttulo1"/>
    <w:next w:val="Normal"/>
    <w:qFormat/>
    <w:rsid w:val="00893B49"/>
    <w:pPr>
      <w:keepLines/>
      <w:numPr>
        <w:numId w:val="12"/>
      </w:numPr>
      <w:tabs>
        <w:tab w:val="num" w:pos="360"/>
        <w:tab w:val="left" w:pos="567"/>
      </w:tabs>
      <w:spacing w:beforeLines="120" w:afterLines="120" w:line="312" w:lineRule="auto"/>
      <w:ind w:left="10" w:firstLine="0"/>
    </w:pPr>
    <w:rPr>
      <w:rFonts w:ascii="Arial" w:eastAsia="Arial" w:hAnsi="Arial" w:cs="Arial"/>
      <w:b/>
      <w:bCs/>
      <w:iCs/>
      <w:sz w:val="20"/>
    </w:rPr>
  </w:style>
  <w:style w:type="paragraph" w:customStyle="1" w:styleId="Nivel2">
    <w:name w:val="Nivel 2"/>
    <w:basedOn w:val="Normal"/>
    <w:qFormat/>
    <w:rsid w:val="00893B49"/>
    <w:pPr>
      <w:numPr>
        <w:ilvl w:val="1"/>
        <w:numId w:val="12"/>
      </w:numPr>
      <w:spacing w:before="120" w:after="120" w:line="276" w:lineRule="auto"/>
      <w:ind w:left="0" w:firstLine="0"/>
      <w:jc w:val="both"/>
    </w:pPr>
    <w:rPr>
      <w:rFonts w:ascii="Arial" w:eastAsiaTheme="minorEastAsia" w:hAnsi="Arial" w:cs="Arial"/>
      <w:szCs w:val="20"/>
    </w:rPr>
  </w:style>
  <w:style w:type="character" w:customStyle="1" w:styleId="Nivel3Char">
    <w:name w:val="Nivel 3 Char"/>
    <w:basedOn w:val="Fontepargpadro"/>
    <w:link w:val="Nivel3"/>
    <w:locked/>
    <w:rsid w:val="00893B49"/>
    <w:rPr>
      <w:rFonts w:ascii="Arial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893B49"/>
    <w:pPr>
      <w:numPr>
        <w:ilvl w:val="2"/>
        <w:numId w:val="12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sz w:val="22"/>
    </w:rPr>
  </w:style>
  <w:style w:type="paragraph" w:customStyle="1" w:styleId="Nivel4">
    <w:name w:val="Nivel 4"/>
    <w:basedOn w:val="Nivel3"/>
    <w:qFormat/>
    <w:rsid w:val="00893B49"/>
    <w:pPr>
      <w:numPr>
        <w:ilvl w:val="3"/>
      </w:numPr>
      <w:tabs>
        <w:tab w:val="num" w:pos="360"/>
      </w:tabs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893B49"/>
    <w:pPr>
      <w:numPr>
        <w:ilvl w:val="4"/>
      </w:numPr>
      <w:tabs>
        <w:tab w:val="num" w:pos="360"/>
        <w:tab w:val="num" w:pos="1492"/>
      </w:tabs>
      <w:ind w:left="851" w:hanging="360"/>
    </w:pPr>
  </w:style>
  <w:style w:type="table" w:styleId="Tabelacomgrade">
    <w:name w:val="Table Grid"/>
    <w:basedOn w:val="Tabelanormal"/>
    <w:uiPriority w:val="39"/>
    <w:rsid w:val="00D1569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20065B"/>
    <w:rPr>
      <w:color w:val="954F72" w:themeColor="followed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E6C94"/>
    <w:rPr>
      <w:color w:val="605E5C"/>
      <w:shd w:val="clear" w:color="auto" w:fill="E1DFDD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2603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itation-95">
    <w:name w:val="citation-95"/>
    <w:basedOn w:val="Fontepargpadro"/>
    <w:rsid w:val="00B26039"/>
  </w:style>
  <w:style w:type="character" w:customStyle="1" w:styleId="citation-94">
    <w:name w:val="citation-94"/>
    <w:basedOn w:val="Fontepargpadro"/>
    <w:rsid w:val="00B26039"/>
  </w:style>
  <w:style w:type="character" w:customStyle="1" w:styleId="citation-93">
    <w:name w:val="citation-93"/>
    <w:basedOn w:val="Fontepargpadro"/>
    <w:rsid w:val="00B26039"/>
  </w:style>
  <w:style w:type="character" w:customStyle="1" w:styleId="citation-92">
    <w:name w:val="citation-92"/>
    <w:basedOn w:val="Fontepargpadro"/>
    <w:rsid w:val="00B26039"/>
  </w:style>
  <w:style w:type="character" w:customStyle="1" w:styleId="citation-91">
    <w:name w:val="citation-91"/>
    <w:basedOn w:val="Fontepargpadro"/>
    <w:rsid w:val="00B26039"/>
  </w:style>
  <w:style w:type="character" w:customStyle="1" w:styleId="citation-90">
    <w:name w:val="citation-90"/>
    <w:basedOn w:val="Fontepargpadro"/>
    <w:rsid w:val="00B26039"/>
  </w:style>
  <w:style w:type="character" w:customStyle="1" w:styleId="citation-89">
    <w:name w:val="citation-89"/>
    <w:basedOn w:val="Fontepargpadro"/>
    <w:rsid w:val="00B26039"/>
  </w:style>
  <w:style w:type="character" w:customStyle="1" w:styleId="citation-88">
    <w:name w:val="citation-88"/>
    <w:basedOn w:val="Fontepargpadro"/>
    <w:rsid w:val="00B26039"/>
  </w:style>
  <w:style w:type="character" w:customStyle="1" w:styleId="citation-87">
    <w:name w:val="citation-87"/>
    <w:basedOn w:val="Fontepargpadro"/>
    <w:rsid w:val="00B260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8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6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892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ANM</Company>
  <LinksUpToDate>false</LinksUpToDate>
  <CharactersWithSpaces>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Alvaro.Barbosa@anm.gov.br</dc:creator>
  <cp:keywords/>
  <cp:lastModifiedBy>Jose Maduro Toledo Junior</cp:lastModifiedBy>
  <cp:revision>2</cp:revision>
  <cp:lastPrinted>2025-10-16T23:50:00Z</cp:lastPrinted>
  <dcterms:created xsi:type="dcterms:W3CDTF">2026-04-28T17:44:00Z</dcterms:created>
  <dcterms:modified xsi:type="dcterms:W3CDTF">2026-04-28T17:44:00Z</dcterms:modified>
</cp:coreProperties>
</file>